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992"/>
        <w:gridCol w:w="992"/>
        <w:gridCol w:w="1276"/>
        <w:gridCol w:w="709"/>
        <w:gridCol w:w="1410"/>
      </w:tblGrid>
      <w:tr w:rsidR="003F164E" w:rsidTr="005F6972">
        <w:trPr>
          <w:trHeight w:val="567"/>
        </w:trPr>
        <w:tc>
          <w:tcPr>
            <w:tcW w:w="1129" w:type="dxa"/>
          </w:tcPr>
          <w:p w:rsidR="003F164E" w:rsidRPr="00A741E5" w:rsidRDefault="003F164E" w:rsidP="003F164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授業科目</w:t>
            </w:r>
          </w:p>
        </w:tc>
        <w:tc>
          <w:tcPr>
            <w:tcW w:w="2552" w:type="dxa"/>
          </w:tcPr>
          <w:p w:rsidR="003F164E" w:rsidRPr="005A4F47" w:rsidRDefault="003F164E" w:rsidP="003F164E">
            <w:pPr>
              <w:spacing w:line="48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看護過程</w:t>
            </w:r>
          </w:p>
        </w:tc>
        <w:tc>
          <w:tcPr>
            <w:tcW w:w="992" w:type="dxa"/>
          </w:tcPr>
          <w:p w:rsidR="003F164E" w:rsidRPr="005A4F47" w:rsidRDefault="003F164E" w:rsidP="003F164E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992" w:type="dxa"/>
            <w:vAlign w:val="center"/>
          </w:tcPr>
          <w:p w:rsidR="003F164E" w:rsidRPr="005A4F47" w:rsidRDefault="003F164E" w:rsidP="003F164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１単位</w:t>
            </w:r>
          </w:p>
        </w:tc>
        <w:tc>
          <w:tcPr>
            <w:tcW w:w="1276" w:type="dxa"/>
          </w:tcPr>
          <w:p w:rsidR="003F164E" w:rsidRPr="005A4F47" w:rsidRDefault="003F164E" w:rsidP="003F164E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時間数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E" w:rsidRDefault="003F164E" w:rsidP="003F16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30時間</w:t>
            </w:r>
          </w:p>
        </w:tc>
      </w:tr>
      <w:tr w:rsidR="002D383B" w:rsidTr="004769D9">
        <w:trPr>
          <w:trHeight w:val="476"/>
        </w:trPr>
        <w:tc>
          <w:tcPr>
            <w:tcW w:w="1129" w:type="dxa"/>
          </w:tcPr>
          <w:p w:rsidR="002D383B" w:rsidRPr="00A741E5" w:rsidRDefault="002D383B" w:rsidP="006105E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2552" w:type="dxa"/>
            <w:vAlign w:val="center"/>
          </w:tcPr>
          <w:p w:rsidR="00325F7A" w:rsidRDefault="00466C75" w:rsidP="004769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治郎丸　倫子</w:t>
            </w:r>
          </w:p>
          <w:p w:rsidR="00660D4B" w:rsidRPr="005A4F47" w:rsidRDefault="00660D4B" w:rsidP="004769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0D4B">
              <w:rPr>
                <w:rFonts w:asciiTheme="minorEastAsia" w:hAnsiTheme="minorEastAsia" w:hint="eastAsia"/>
                <w:szCs w:val="21"/>
              </w:rPr>
              <w:t>(臨床経験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660D4B">
              <w:rPr>
                <w:rFonts w:asciiTheme="minorEastAsia" w:hAnsiTheme="minorEastAsia" w:hint="eastAsia"/>
                <w:szCs w:val="21"/>
              </w:rPr>
              <w:t>年)</w:t>
            </w:r>
          </w:p>
        </w:tc>
        <w:tc>
          <w:tcPr>
            <w:tcW w:w="992" w:type="dxa"/>
          </w:tcPr>
          <w:p w:rsidR="002D383B" w:rsidRPr="005A4F47" w:rsidRDefault="002D383B" w:rsidP="006105E7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992" w:type="dxa"/>
            <w:vAlign w:val="center"/>
          </w:tcPr>
          <w:p w:rsidR="002D383B" w:rsidRPr="005A4F47" w:rsidRDefault="00A741E5" w:rsidP="00BD359E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１</w:t>
            </w:r>
            <w:r w:rsidR="002D383B" w:rsidRPr="005A4F47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76" w:type="dxa"/>
          </w:tcPr>
          <w:p w:rsidR="002D383B" w:rsidRPr="005A4F47" w:rsidRDefault="002D383B" w:rsidP="006105E7">
            <w:pPr>
              <w:spacing w:line="480" w:lineRule="auto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開講年次</w:t>
            </w:r>
          </w:p>
        </w:tc>
        <w:tc>
          <w:tcPr>
            <w:tcW w:w="2119" w:type="dxa"/>
            <w:gridSpan w:val="2"/>
          </w:tcPr>
          <w:p w:rsidR="002D383B" w:rsidRPr="005A4F47" w:rsidRDefault="00A741E5" w:rsidP="006105E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Cs w:val="21"/>
              </w:rPr>
              <w:t>１</w:t>
            </w:r>
            <w:r w:rsidR="002D383B" w:rsidRPr="005A4F47">
              <w:rPr>
                <w:rFonts w:asciiTheme="minorEastAsia" w:hAnsiTheme="minorEastAsia" w:hint="eastAsia"/>
                <w:szCs w:val="21"/>
              </w:rPr>
              <w:t>学期</w:t>
            </w:r>
          </w:p>
        </w:tc>
      </w:tr>
      <w:tr w:rsidR="000E7AD9" w:rsidTr="00C81A62">
        <w:trPr>
          <w:trHeight w:val="399"/>
        </w:trPr>
        <w:tc>
          <w:tcPr>
            <w:tcW w:w="1129" w:type="dxa"/>
          </w:tcPr>
          <w:p w:rsidR="000E7AD9" w:rsidRPr="00A741E5" w:rsidRDefault="000E7AD9" w:rsidP="00766169">
            <w:pPr>
              <w:spacing w:line="480" w:lineRule="auto"/>
              <w:ind w:firstLine="210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931" w:type="dxa"/>
            <w:gridSpan w:val="6"/>
            <w:vAlign w:val="center"/>
          </w:tcPr>
          <w:p w:rsidR="000E7AD9" w:rsidRPr="005A4F47" w:rsidRDefault="001A50E2" w:rsidP="00766169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患者が抱える健康問題</w:t>
            </w:r>
            <w:r w:rsidR="009835A5" w:rsidRPr="005A4F47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解決</w:t>
            </w:r>
            <w:r w:rsidR="009835A5" w:rsidRPr="005A4F47">
              <w:rPr>
                <w:rFonts w:asciiTheme="minorEastAsia" w:hAnsiTheme="minorEastAsia" w:hint="eastAsia"/>
                <w:sz w:val="20"/>
                <w:szCs w:val="20"/>
              </w:rPr>
              <w:t>するための看護過程展開の技術を学ぶ。</w:t>
            </w:r>
          </w:p>
        </w:tc>
      </w:tr>
      <w:tr w:rsidR="002D383B" w:rsidTr="00EC3684">
        <w:tc>
          <w:tcPr>
            <w:tcW w:w="1129" w:type="dxa"/>
            <w:vAlign w:val="center"/>
          </w:tcPr>
          <w:p w:rsidR="002D383B" w:rsidRPr="00A741E5" w:rsidRDefault="002D383B" w:rsidP="00EC368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科目目標</w:t>
            </w:r>
          </w:p>
        </w:tc>
        <w:tc>
          <w:tcPr>
            <w:tcW w:w="7931" w:type="dxa"/>
            <w:gridSpan w:val="6"/>
          </w:tcPr>
          <w:p w:rsidR="009835A5" w:rsidRPr="005A4F47" w:rsidRDefault="001A50E2" w:rsidP="001A50E2">
            <w:pPr>
              <w:ind w:left="420" w:hanging="42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="009835A5" w:rsidRPr="005A4F47">
              <w:rPr>
                <w:rFonts w:asciiTheme="minorEastAsia" w:hAnsiTheme="minorEastAsia" w:hint="eastAsia"/>
                <w:sz w:val="20"/>
                <w:szCs w:val="20"/>
              </w:rPr>
              <w:t>看護過程の基盤となるコミュニケーションの特徴と重要性が理解できる。</w:t>
            </w:r>
          </w:p>
          <w:p w:rsidR="003B3A1D" w:rsidRPr="005A4F47" w:rsidRDefault="009835A5" w:rsidP="003B3A1D">
            <w:pPr>
              <w:ind w:left="420" w:hanging="42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="001A50E2" w:rsidRPr="005A4F47">
              <w:rPr>
                <w:rFonts w:asciiTheme="minorEastAsia" w:hAnsiTheme="minorEastAsia" w:hint="eastAsia"/>
                <w:sz w:val="20"/>
                <w:szCs w:val="20"/>
              </w:rPr>
              <w:t>看護過程を構成する要素とそのプロセス、また看護過程を用いることの意義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3B3A1D" w:rsidRPr="005A4F47">
              <w:rPr>
                <w:rFonts w:asciiTheme="minorEastAsia" w:hAnsiTheme="minorEastAsia" w:hint="eastAsia"/>
                <w:sz w:val="20"/>
                <w:szCs w:val="20"/>
              </w:rPr>
              <w:t>理解</w:t>
            </w:r>
          </w:p>
          <w:p w:rsidR="00213028" w:rsidRPr="005A4F47" w:rsidRDefault="001A50E2" w:rsidP="002E2F10">
            <w:pPr>
              <w:ind w:left="420" w:hanging="2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できる。</w:t>
            </w:r>
          </w:p>
          <w:p w:rsidR="00D04B65" w:rsidRPr="005A4F47" w:rsidRDefault="009835A5" w:rsidP="00D04B65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213028" w:rsidRPr="005A4F47">
              <w:rPr>
                <w:rFonts w:asciiTheme="minorEastAsia" w:hAnsiTheme="minorEastAsia" w:hint="eastAsia"/>
                <w:b/>
                <w:sz w:val="20"/>
                <w:szCs w:val="20"/>
              </w:rPr>
              <w:t>．</w:t>
            </w:r>
            <w:r w:rsidR="00B22F2F" w:rsidRPr="005A4F47">
              <w:rPr>
                <w:rFonts w:asciiTheme="minorEastAsia" w:hAnsiTheme="minorEastAsia" w:hint="eastAsia"/>
                <w:sz w:val="20"/>
                <w:szCs w:val="20"/>
              </w:rPr>
              <w:t>看護過程の基盤となる考え方が理解できる。</w:t>
            </w:r>
          </w:p>
          <w:p w:rsidR="002D383B" w:rsidRPr="005A4F47" w:rsidRDefault="009835A5" w:rsidP="002E2F10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B22F2F" w:rsidRPr="005A4F47">
              <w:rPr>
                <w:rFonts w:asciiTheme="minorEastAsia" w:hAnsiTheme="minorEastAsia" w:hint="eastAsia"/>
                <w:sz w:val="20"/>
                <w:szCs w:val="20"/>
              </w:rPr>
              <w:t>．看護過程の各段階の基本的な考え方を理解し、事例をもとに、看護過程の展開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の実際が理解</w:t>
            </w:r>
            <w:r w:rsidR="00B22F2F" w:rsidRPr="005A4F47">
              <w:rPr>
                <w:rFonts w:asciiTheme="minorEastAsia" w:hAnsiTheme="minorEastAsia" w:hint="eastAsia"/>
                <w:sz w:val="20"/>
                <w:szCs w:val="20"/>
              </w:rPr>
              <w:t>できる</w:t>
            </w:r>
            <w:r w:rsidR="00343344" w:rsidRPr="005A4F47"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:rsidR="00B22F2F" w:rsidRPr="005A4F47" w:rsidRDefault="009835A5" w:rsidP="00575D3B">
            <w:pPr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B22F2F" w:rsidRPr="005A4F47">
              <w:rPr>
                <w:rFonts w:asciiTheme="minorEastAsia" w:hAnsiTheme="minorEastAsia" w:hint="eastAsia"/>
                <w:sz w:val="20"/>
                <w:szCs w:val="20"/>
              </w:rPr>
              <w:t>．看護記録の目的と留意点、その構成について理解できる。</w:t>
            </w:r>
          </w:p>
        </w:tc>
      </w:tr>
      <w:tr w:rsidR="00BB48E0" w:rsidTr="00766169">
        <w:trPr>
          <w:trHeight w:val="508"/>
        </w:trPr>
        <w:tc>
          <w:tcPr>
            <w:tcW w:w="1129" w:type="dxa"/>
            <w:vAlign w:val="center"/>
          </w:tcPr>
          <w:p w:rsidR="00BB48E0" w:rsidRPr="00A741E5" w:rsidRDefault="00BB48E0" w:rsidP="0076616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回数</w:t>
            </w:r>
          </w:p>
        </w:tc>
        <w:tc>
          <w:tcPr>
            <w:tcW w:w="6521" w:type="dxa"/>
            <w:gridSpan w:val="5"/>
            <w:vAlign w:val="center"/>
          </w:tcPr>
          <w:p w:rsidR="00BB48E0" w:rsidRPr="00BB48E0" w:rsidRDefault="00BB48E0" w:rsidP="00766169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B48E0">
              <w:rPr>
                <w:rFonts w:asciiTheme="minorEastAsia" w:hAnsiTheme="minorEastAsia" w:hint="eastAsia"/>
                <w:sz w:val="22"/>
                <w:szCs w:val="21"/>
              </w:rPr>
              <w:t>授業計画・</w:t>
            </w:r>
            <w:r w:rsidR="00B702B4">
              <w:rPr>
                <w:rFonts w:asciiTheme="minorEastAsia" w:hAnsiTheme="minorEastAsia" w:hint="eastAsia"/>
                <w:sz w:val="22"/>
                <w:szCs w:val="21"/>
              </w:rPr>
              <w:t>授業</w:t>
            </w:r>
            <w:r w:rsidRPr="00BB48E0">
              <w:rPr>
                <w:rFonts w:asciiTheme="minorEastAsia" w:hAnsiTheme="minorEastAsia" w:hint="eastAsia"/>
                <w:sz w:val="22"/>
                <w:szCs w:val="21"/>
              </w:rPr>
              <w:t>内容</w:t>
            </w:r>
          </w:p>
        </w:tc>
        <w:tc>
          <w:tcPr>
            <w:tcW w:w="1410" w:type="dxa"/>
            <w:vAlign w:val="center"/>
          </w:tcPr>
          <w:p w:rsidR="00BB48E0" w:rsidRPr="005A4F47" w:rsidRDefault="00BB48E0" w:rsidP="00766169">
            <w:p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</w:tr>
      <w:tr w:rsidR="00BB48E0" w:rsidTr="00766169">
        <w:trPr>
          <w:trHeight w:val="5591"/>
        </w:trPr>
        <w:tc>
          <w:tcPr>
            <w:tcW w:w="1129" w:type="dxa"/>
          </w:tcPr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1回</w:t>
            </w: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2回</w:t>
            </w: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3回</w:t>
            </w: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4回</w:t>
            </w: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5回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6回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7～11回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12～14回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15回</w:t>
            </w:r>
          </w:p>
          <w:p w:rsidR="00BB48E0" w:rsidRPr="00A741E5" w:rsidRDefault="00BB48E0" w:rsidP="00BB4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gridSpan w:val="5"/>
          </w:tcPr>
          <w:p w:rsidR="00BB48E0" w:rsidRPr="005A4F47" w:rsidRDefault="00BB48E0" w:rsidP="002E2F1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１．コミュニケーションの意義と目的</w:t>
            </w:r>
          </w:p>
          <w:p w:rsidR="00BB48E0" w:rsidRPr="005A4F47" w:rsidRDefault="00BB48E0" w:rsidP="00B5732C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２．看護過程展開の技術</w:t>
            </w:r>
          </w:p>
          <w:p w:rsidR="00BB48E0" w:rsidRPr="005A4F47" w:rsidRDefault="00BB48E0" w:rsidP="007371EA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１）看護過程とは</w:t>
            </w:r>
          </w:p>
          <w:p w:rsidR="00BB48E0" w:rsidRPr="005A4F47" w:rsidRDefault="00BB48E0" w:rsidP="006105E7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２）看護過程を展開する際に基盤となる考え方</w:t>
            </w:r>
          </w:p>
          <w:p w:rsidR="00BB48E0" w:rsidRPr="005A4F47" w:rsidRDefault="00BB48E0" w:rsidP="0026506B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　（１）問題解決過程　（２）クリティカルシンキング　</w:t>
            </w:r>
          </w:p>
          <w:p w:rsidR="00BB48E0" w:rsidRPr="005A4F47" w:rsidRDefault="00BB48E0" w:rsidP="0026506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（３）倫理的判断　　（４）リフレクション</w:t>
            </w:r>
          </w:p>
          <w:p w:rsidR="00BB48E0" w:rsidRPr="005A4F47" w:rsidRDefault="00BB48E0" w:rsidP="006105E7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３．看護過程の各段階１</w:t>
            </w:r>
          </w:p>
          <w:p w:rsidR="00BB48E0" w:rsidRPr="005A4F47" w:rsidRDefault="00BB48E0" w:rsidP="00343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　（１）アセスメント（情報の収集と分析）　（２）全体像の把握</w:t>
            </w:r>
          </w:p>
          <w:p w:rsidR="00BB48E0" w:rsidRDefault="00BB48E0" w:rsidP="00343344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　（３）看護問題の明確化（看護診断）</w:t>
            </w:r>
          </w:p>
          <w:p w:rsidR="00BB48E0" w:rsidRPr="005A4F47" w:rsidRDefault="00BB48E0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４．看護過程の各段階２</w:t>
            </w:r>
          </w:p>
          <w:p w:rsidR="00BB48E0" w:rsidRPr="005A4F47" w:rsidRDefault="00BB48E0" w:rsidP="00BB48E0">
            <w:pPr>
              <w:ind w:firstLine="42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（１）看護計画（２）実施（３）評価</w:t>
            </w:r>
          </w:p>
          <w:p w:rsidR="00BB48E0" w:rsidRPr="005A4F47" w:rsidRDefault="00BB48E0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５．看護記録</w:t>
            </w:r>
          </w:p>
          <w:p w:rsidR="00BB48E0" w:rsidRPr="005A4F47" w:rsidRDefault="00BB48E0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5A4F47">
              <w:rPr>
                <w:rFonts w:asciiTheme="minorEastAsia" w:hAnsiTheme="minorEastAsia"/>
                <w:sz w:val="20"/>
                <w:szCs w:val="20"/>
              </w:rPr>
              <w:t>．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脳梗塞患者（回復期）の看護展開</w:t>
            </w:r>
          </w:p>
          <w:p w:rsidR="00BB48E0" w:rsidRPr="005A4F47" w:rsidRDefault="00BB48E0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　　・事例紹介　・記録用紙の説明</w:t>
            </w:r>
          </w:p>
          <w:p w:rsidR="00BB48E0" w:rsidRPr="005A4F47" w:rsidRDefault="00BB48E0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７．事例を用いた看護過程の展開　</w:t>
            </w:r>
          </w:p>
          <w:p w:rsidR="00BB48E0" w:rsidRPr="005A4F47" w:rsidRDefault="00BB48E0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　　情報</w:t>
            </w:r>
            <w:r w:rsidR="00C9136E">
              <w:rPr>
                <w:rFonts w:asciiTheme="minorEastAsia" w:hAnsiTheme="minorEastAsia" w:hint="eastAsia"/>
                <w:sz w:val="20"/>
                <w:szCs w:val="20"/>
              </w:rPr>
              <w:t>収集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・分析・関連図・看護診断・看護計画</w:t>
            </w:r>
          </w:p>
          <w:p w:rsidR="00BB48E0" w:rsidRPr="005A4F47" w:rsidRDefault="00106D3A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="00BB48E0" w:rsidRPr="005A4F47">
              <w:rPr>
                <w:rFonts w:asciiTheme="minorEastAsia" w:hAnsiTheme="minorEastAsia" w:hint="eastAsia"/>
                <w:sz w:val="20"/>
                <w:szCs w:val="20"/>
              </w:rPr>
              <w:t>．事例を用いた看護過程の展開　関連図・看護計画</w:t>
            </w:r>
          </w:p>
          <w:p w:rsidR="00BB48E0" w:rsidRDefault="00106D3A" w:rsidP="00BB48E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="00BB48E0" w:rsidRPr="005A4F47">
              <w:rPr>
                <w:rFonts w:asciiTheme="minorEastAsia" w:hAnsiTheme="minorEastAsia" w:hint="eastAsia"/>
                <w:sz w:val="20"/>
                <w:szCs w:val="20"/>
              </w:rPr>
              <w:t>．事例を用いた看護過程の展開（グループ発表）（45分）</w:t>
            </w:r>
          </w:p>
          <w:p w:rsidR="00BB48E0" w:rsidRPr="005A4F47" w:rsidRDefault="00BB48E0" w:rsidP="00BB48E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終了試験（45分）</w:t>
            </w:r>
          </w:p>
        </w:tc>
        <w:tc>
          <w:tcPr>
            <w:tcW w:w="1410" w:type="dxa"/>
          </w:tcPr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講義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講義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講義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講義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講義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講義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個人ワーク</w:t>
            </w: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B48E0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グループ</w:t>
            </w:r>
          </w:p>
          <w:p w:rsidR="00BB48E0" w:rsidRPr="005A4F47" w:rsidRDefault="00BB48E0" w:rsidP="00BB48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ワーク</w:t>
            </w:r>
          </w:p>
        </w:tc>
      </w:tr>
      <w:tr w:rsidR="002D383B" w:rsidTr="001D3E9E">
        <w:trPr>
          <w:trHeight w:val="624"/>
        </w:trPr>
        <w:tc>
          <w:tcPr>
            <w:tcW w:w="1129" w:type="dxa"/>
          </w:tcPr>
          <w:p w:rsidR="002D383B" w:rsidRPr="00816AFE" w:rsidRDefault="002D383B" w:rsidP="00575D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6AFE">
              <w:rPr>
                <w:rFonts w:asciiTheme="minorEastAsia" w:hAnsiTheme="minorEastAsia" w:hint="eastAsia"/>
                <w:szCs w:val="21"/>
              </w:rPr>
              <w:t>准看時</w:t>
            </w:r>
          </w:p>
          <w:p w:rsidR="002D383B" w:rsidRPr="00816AFE" w:rsidRDefault="002D383B" w:rsidP="006105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6AFE">
              <w:rPr>
                <w:rFonts w:asciiTheme="minorEastAsia" w:hAnsiTheme="minorEastAsia" w:hint="eastAsia"/>
                <w:sz w:val="20"/>
                <w:szCs w:val="20"/>
              </w:rPr>
              <w:t>授業内容</w:t>
            </w:r>
          </w:p>
        </w:tc>
        <w:tc>
          <w:tcPr>
            <w:tcW w:w="7931" w:type="dxa"/>
            <w:gridSpan w:val="6"/>
          </w:tcPr>
          <w:p w:rsidR="002D383B" w:rsidRPr="00816AFE" w:rsidRDefault="00B702B4" w:rsidP="006105E7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816AFE">
              <w:rPr>
                <w:rFonts w:asciiTheme="minorEastAsia" w:hAnsiTheme="minorEastAsia" w:hint="eastAsia"/>
                <w:sz w:val="20"/>
                <w:szCs w:val="20"/>
              </w:rPr>
              <w:t>基礎看護技術</w:t>
            </w:r>
          </w:p>
        </w:tc>
      </w:tr>
      <w:tr w:rsidR="002D383B" w:rsidTr="001D3E9E">
        <w:trPr>
          <w:trHeight w:val="737"/>
        </w:trPr>
        <w:tc>
          <w:tcPr>
            <w:tcW w:w="1129" w:type="dxa"/>
          </w:tcPr>
          <w:p w:rsidR="002D383B" w:rsidRPr="00A741E5" w:rsidRDefault="002D383B" w:rsidP="00575D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教科書</w:t>
            </w:r>
          </w:p>
          <w:p w:rsidR="002D383B" w:rsidRPr="00A741E5" w:rsidRDefault="002D383B" w:rsidP="006105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参考書</w:t>
            </w:r>
          </w:p>
        </w:tc>
        <w:tc>
          <w:tcPr>
            <w:tcW w:w="7931" w:type="dxa"/>
            <w:gridSpan w:val="6"/>
          </w:tcPr>
          <w:p w:rsidR="005E4D44" w:rsidRPr="005A4F47" w:rsidRDefault="002D383B" w:rsidP="005E4D44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教科書：</w:t>
            </w:r>
            <w:r w:rsidR="005E4D44" w:rsidRPr="005A4F47">
              <w:rPr>
                <w:rFonts w:asciiTheme="minorEastAsia" w:hAnsiTheme="minorEastAsia" w:hint="eastAsia"/>
                <w:sz w:val="20"/>
                <w:szCs w:val="20"/>
              </w:rPr>
              <w:t>『</w:t>
            </w:r>
            <w:r w:rsidR="00106D3A" w:rsidRPr="00106D3A">
              <w:rPr>
                <w:rFonts w:asciiTheme="minorEastAsia" w:hAnsiTheme="minorEastAsia" w:hint="eastAsia"/>
                <w:sz w:val="20"/>
                <w:szCs w:val="20"/>
              </w:rPr>
              <w:t>系統看護学講座　専門分野　基礎看護学〔</w:t>
            </w:r>
            <w:r w:rsidR="00106D3A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106D3A" w:rsidRPr="00106D3A">
              <w:rPr>
                <w:rFonts w:asciiTheme="minorEastAsia" w:hAnsiTheme="minorEastAsia" w:hint="eastAsia"/>
                <w:sz w:val="20"/>
                <w:szCs w:val="20"/>
              </w:rPr>
              <w:t>〕基礎看護技術</w:t>
            </w:r>
            <w:r w:rsidR="00106D3A">
              <w:rPr>
                <w:rFonts w:asciiTheme="minorEastAsia" w:hAnsiTheme="minorEastAsia" w:hint="eastAsia"/>
                <w:sz w:val="20"/>
                <w:szCs w:val="20"/>
              </w:rPr>
              <w:t>Ⅰ</w:t>
            </w:r>
            <w:r w:rsidR="00213028" w:rsidRPr="005A4F47">
              <w:rPr>
                <w:rFonts w:asciiTheme="minorEastAsia" w:hAnsiTheme="minorEastAsia" w:hint="eastAsia"/>
                <w:sz w:val="20"/>
                <w:szCs w:val="20"/>
              </w:rPr>
              <w:t>』医学書院</w:t>
            </w:r>
          </w:p>
          <w:p w:rsidR="00213028" w:rsidRPr="005A4F47" w:rsidRDefault="005C19EA" w:rsidP="005C19EA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参考書：</w:t>
            </w:r>
            <w:r w:rsidR="005E4D44" w:rsidRPr="005A4F47">
              <w:rPr>
                <w:rFonts w:asciiTheme="minorEastAsia" w:hAnsiTheme="minorEastAsia" w:hint="eastAsia"/>
                <w:sz w:val="20"/>
                <w:szCs w:val="20"/>
              </w:rPr>
              <w:t>『看護診断ハンドブック』</w:t>
            </w:r>
            <w:bookmarkStart w:id="0" w:name="_GoBack"/>
            <w:bookmarkEnd w:id="0"/>
            <w:r w:rsidR="005E4D44" w:rsidRPr="005A4F47">
              <w:rPr>
                <w:rFonts w:asciiTheme="minorEastAsia" w:hAnsiTheme="minorEastAsia" w:hint="eastAsia"/>
                <w:sz w:val="20"/>
                <w:szCs w:val="20"/>
              </w:rPr>
              <w:t>医学書院</w:t>
            </w:r>
          </w:p>
          <w:p w:rsidR="002D383B" w:rsidRPr="005A4F47" w:rsidRDefault="00213028" w:rsidP="005C19EA">
            <w:pPr>
              <w:ind w:firstLine="735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『患者さんの情報収集ガイドブック』メヂカルフレンド社</w:t>
            </w:r>
          </w:p>
        </w:tc>
      </w:tr>
      <w:tr w:rsidR="002D383B" w:rsidTr="002E2F10">
        <w:trPr>
          <w:trHeight w:val="456"/>
        </w:trPr>
        <w:tc>
          <w:tcPr>
            <w:tcW w:w="1129" w:type="dxa"/>
          </w:tcPr>
          <w:p w:rsidR="002D383B" w:rsidRPr="00A741E5" w:rsidRDefault="002D383B" w:rsidP="006105E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評価方法</w:t>
            </w:r>
          </w:p>
        </w:tc>
        <w:tc>
          <w:tcPr>
            <w:tcW w:w="7931" w:type="dxa"/>
            <w:gridSpan w:val="6"/>
          </w:tcPr>
          <w:p w:rsidR="002D383B" w:rsidRPr="005A4F47" w:rsidRDefault="005C19EA" w:rsidP="005C19EA">
            <w:pPr>
              <w:spacing w:line="480" w:lineRule="auto"/>
              <w:ind w:firstLine="21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学習成果物　</w:t>
            </w:r>
            <w:r w:rsidR="00037594" w:rsidRPr="005A4F47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点　　</w:t>
            </w:r>
            <w:r w:rsidR="002D383B" w:rsidRPr="005A4F47">
              <w:rPr>
                <w:rFonts w:asciiTheme="minorEastAsia" w:hAnsiTheme="minorEastAsia" w:hint="eastAsia"/>
                <w:sz w:val="20"/>
                <w:szCs w:val="20"/>
              </w:rPr>
              <w:t>筆記試験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37594" w:rsidRPr="005A4F47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点</w:t>
            </w:r>
          </w:p>
        </w:tc>
      </w:tr>
      <w:tr w:rsidR="002D383B" w:rsidTr="001D3E9E">
        <w:trPr>
          <w:trHeight w:val="624"/>
        </w:trPr>
        <w:tc>
          <w:tcPr>
            <w:tcW w:w="1129" w:type="dxa"/>
          </w:tcPr>
          <w:p w:rsidR="002D383B" w:rsidRPr="00A741E5" w:rsidRDefault="002D383B" w:rsidP="006105E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関連科目</w:t>
            </w:r>
          </w:p>
        </w:tc>
        <w:tc>
          <w:tcPr>
            <w:tcW w:w="7931" w:type="dxa"/>
            <w:gridSpan w:val="6"/>
          </w:tcPr>
          <w:p w:rsidR="002E2F10" w:rsidRPr="005A4F47" w:rsidRDefault="00037594" w:rsidP="00E978B4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解剖生理学、</w:t>
            </w:r>
            <w:r w:rsidR="004737F6" w:rsidRPr="005A4F47">
              <w:rPr>
                <w:rFonts w:asciiTheme="minorEastAsia" w:hAnsiTheme="minorEastAsia" w:hint="eastAsia"/>
                <w:sz w:val="20"/>
                <w:szCs w:val="20"/>
              </w:rPr>
              <w:t>病態生理</w:t>
            </w:r>
            <w:r w:rsidR="009E6E79">
              <w:rPr>
                <w:rFonts w:asciiTheme="minorEastAsia" w:hAnsiTheme="minorEastAsia" w:hint="eastAsia"/>
                <w:sz w:val="20"/>
                <w:szCs w:val="20"/>
              </w:rPr>
              <w:t>・病理</w:t>
            </w:r>
            <w:r w:rsidR="004737F6" w:rsidRPr="005A4F47">
              <w:rPr>
                <w:rFonts w:asciiTheme="minorEastAsia" w:hAnsiTheme="minorEastAsia" w:hint="eastAsia"/>
                <w:sz w:val="20"/>
                <w:szCs w:val="20"/>
              </w:rPr>
              <w:t>学、</w:t>
            </w:r>
            <w:r w:rsidR="00B5732C" w:rsidRPr="005A4F47">
              <w:rPr>
                <w:rFonts w:asciiTheme="minorEastAsia" w:hAnsiTheme="minorEastAsia" w:hint="eastAsia"/>
                <w:sz w:val="20"/>
                <w:szCs w:val="20"/>
              </w:rPr>
              <w:t>成人看護学概論</w:t>
            </w:r>
          </w:p>
          <w:p w:rsidR="00EC3684" w:rsidRPr="005A4F47" w:rsidRDefault="00037594" w:rsidP="00E978B4">
            <w:pPr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健康の回復と看護④</w:t>
            </w:r>
            <w:r w:rsidR="00B5732C" w:rsidRPr="005A4F47">
              <w:rPr>
                <w:rFonts w:asciiTheme="minorEastAsia" w:hAnsiTheme="minorEastAsia" w:hint="eastAsia"/>
                <w:sz w:val="20"/>
                <w:szCs w:val="20"/>
              </w:rPr>
              <w:t>「脳・神経機能障害/感覚機能障害」</w:t>
            </w:r>
          </w:p>
        </w:tc>
      </w:tr>
      <w:tr w:rsidR="002D383B" w:rsidTr="001D3E9E">
        <w:trPr>
          <w:trHeight w:val="624"/>
        </w:trPr>
        <w:tc>
          <w:tcPr>
            <w:tcW w:w="1129" w:type="dxa"/>
          </w:tcPr>
          <w:p w:rsidR="002D383B" w:rsidRPr="00A741E5" w:rsidRDefault="002D383B" w:rsidP="006105E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741E5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931" w:type="dxa"/>
            <w:gridSpan w:val="6"/>
          </w:tcPr>
          <w:p w:rsidR="00DC7291" w:rsidRPr="005A4F47" w:rsidRDefault="00DC7291" w:rsidP="00DC7291">
            <w:pPr>
              <w:ind w:left="420" w:hanging="42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１．開講前にシラバスを確認し、事例内容に必要となる既習学習内容の復習を行い講義</w:t>
            </w:r>
          </w:p>
          <w:p w:rsidR="00DC7291" w:rsidRPr="005A4F47" w:rsidRDefault="00DC7291" w:rsidP="00DC7291">
            <w:pPr>
              <w:ind w:left="420" w:hanging="220"/>
              <w:rPr>
                <w:rFonts w:asciiTheme="minorEastAsia" w:hAnsiTheme="minorEastAsia"/>
                <w:sz w:val="20"/>
                <w:szCs w:val="20"/>
              </w:rPr>
            </w:pPr>
            <w:r w:rsidRPr="005A4F47">
              <w:rPr>
                <w:rFonts w:asciiTheme="minorEastAsia" w:hAnsiTheme="minorEastAsia" w:hint="eastAsia"/>
                <w:sz w:val="20"/>
                <w:szCs w:val="20"/>
              </w:rPr>
              <w:t>に臨んでください。</w:t>
            </w:r>
          </w:p>
          <w:p w:rsidR="00204B59" w:rsidRPr="005A4F47" w:rsidRDefault="00DC7291" w:rsidP="00DC7291">
            <w:pPr>
              <w:ind w:left="210" w:hanging="210"/>
              <w:rPr>
                <w:rFonts w:asciiTheme="minorEastAsia" w:hAnsiTheme="minorEastAsia"/>
                <w:szCs w:val="21"/>
              </w:rPr>
            </w:pPr>
            <w:r w:rsidRPr="005A4F4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２．学習成果物の提出については、講義開始時に提示します。提出期限が守れない場合は評価の減点対象となります。</w:t>
            </w:r>
          </w:p>
        </w:tc>
      </w:tr>
    </w:tbl>
    <w:p w:rsidR="00FD1A70" w:rsidRDefault="00FD1A70" w:rsidP="00895040"/>
    <w:sectPr w:rsidR="00FD1A70" w:rsidSect="00BB48E0">
      <w:pgSz w:w="11906" w:h="16838" w:code="9"/>
      <w:pgMar w:top="1361" w:right="1418" w:bottom="136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51" w:rsidRDefault="00334C51" w:rsidP="002B6029">
      <w:r>
        <w:separator/>
      </w:r>
    </w:p>
  </w:endnote>
  <w:endnote w:type="continuationSeparator" w:id="0">
    <w:p w:rsidR="00334C51" w:rsidRDefault="00334C51" w:rsidP="002B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51" w:rsidRDefault="00334C51" w:rsidP="002B6029">
      <w:r>
        <w:separator/>
      </w:r>
    </w:p>
  </w:footnote>
  <w:footnote w:type="continuationSeparator" w:id="0">
    <w:p w:rsidR="00334C51" w:rsidRDefault="00334C51" w:rsidP="002B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564"/>
    <w:multiLevelType w:val="hybridMultilevel"/>
    <w:tmpl w:val="5652204A"/>
    <w:lvl w:ilvl="0" w:tplc="B4C21B1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66BB4"/>
    <w:multiLevelType w:val="hybridMultilevel"/>
    <w:tmpl w:val="B852BFB4"/>
    <w:lvl w:ilvl="0" w:tplc="1EECC3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423EB"/>
    <w:multiLevelType w:val="hybridMultilevel"/>
    <w:tmpl w:val="69AA1256"/>
    <w:lvl w:ilvl="0" w:tplc="A13646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385BC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B"/>
    <w:rsid w:val="00014BDA"/>
    <w:rsid w:val="00037594"/>
    <w:rsid w:val="000E7AD9"/>
    <w:rsid w:val="00106D3A"/>
    <w:rsid w:val="00177A03"/>
    <w:rsid w:val="001A50E2"/>
    <w:rsid w:val="001D3E9E"/>
    <w:rsid w:val="00204B59"/>
    <w:rsid w:val="00213028"/>
    <w:rsid w:val="0026506B"/>
    <w:rsid w:val="002A28B5"/>
    <w:rsid w:val="002B6029"/>
    <w:rsid w:val="002C7E86"/>
    <w:rsid w:val="002D383B"/>
    <w:rsid w:val="002E2F10"/>
    <w:rsid w:val="00325F7A"/>
    <w:rsid w:val="00334C51"/>
    <w:rsid w:val="00343344"/>
    <w:rsid w:val="0035583C"/>
    <w:rsid w:val="003734A9"/>
    <w:rsid w:val="003B0AA5"/>
    <w:rsid w:val="003B3A1D"/>
    <w:rsid w:val="003F164E"/>
    <w:rsid w:val="003F6C79"/>
    <w:rsid w:val="004173CE"/>
    <w:rsid w:val="00466C75"/>
    <w:rsid w:val="004737F6"/>
    <w:rsid w:val="0047404E"/>
    <w:rsid w:val="004769D9"/>
    <w:rsid w:val="004D7609"/>
    <w:rsid w:val="00547C51"/>
    <w:rsid w:val="005A4F47"/>
    <w:rsid w:val="005C19EA"/>
    <w:rsid w:val="005E4D44"/>
    <w:rsid w:val="006105E7"/>
    <w:rsid w:val="00656306"/>
    <w:rsid w:val="00660D4B"/>
    <w:rsid w:val="0069101A"/>
    <w:rsid w:val="006D5F50"/>
    <w:rsid w:val="00700FDC"/>
    <w:rsid w:val="007371EA"/>
    <w:rsid w:val="00766169"/>
    <w:rsid w:val="007A0C3E"/>
    <w:rsid w:val="00816AFE"/>
    <w:rsid w:val="00895040"/>
    <w:rsid w:val="008F65AC"/>
    <w:rsid w:val="00911342"/>
    <w:rsid w:val="009835A5"/>
    <w:rsid w:val="009E6E79"/>
    <w:rsid w:val="009F4F7E"/>
    <w:rsid w:val="00A741E5"/>
    <w:rsid w:val="00A80982"/>
    <w:rsid w:val="00A8751A"/>
    <w:rsid w:val="00B22F2F"/>
    <w:rsid w:val="00B5732C"/>
    <w:rsid w:val="00B702B4"/>
    <w:rsid w:val="00BB48E0"/>
    <w:rsid w:val="00BB7E52"/>
    <w:rsid w:val="00BD27C7"/>
    <w:rsid w:val="00BD359E"/>
    <w:rsid w:val="00C81A62"/>
    <w:rsid w:val="00C9136E"/>
    <w:rsid w:val="00C95DD8"/>
    <w:rsid w:val="00D04B65"/>
    <w:rsid w:val="00D41830"/>
    <w:rsid w:val="00DC7291"/>
    <w:rsid w:val="00E86AD4"/>
    <w:rsid w:val="00E92BAA"/>
    <w:rsid w:val="00E978B4"/>
    <w:rsid w:val="00EC00DE"/>
    <w:rsid w:val="00EC3684"/>
    <w:rsid w:val="00EE49CA"/>
    <w:rsid w:val="00F14AE4"/>
    <w:rsid w:val="00F33FC7"/>
    <w:rsid w:val="00FB39BC"/>
    <w:rsid w:val="00FD1A70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E2D42-A5AC-4C42-A31A-6DA5AC7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029"/>
  </w:style>
  <w:style w:type="paragraph" w:styleId="a6">
    <w:name w:val="footer"/>
    <w:basedOn w:val="a"/>
    <w:link w:val="a7"/>
    <w:uiPriority w:val="99"/>
    <w:unhideWhenUsed/>
    <w:rsid w:val="002B6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029"/>
  </w:style>
  <w:style w:type="paragraph" w:styleId="a8">
    <w:name w:val="List Paragraph"/>
    <w:basedOn w:val="a"/>
    <w:uiPriority w:val="34"/>
    <w:qFormat/>
    <w:rsid w:val="006105E7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D4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BA66-283D-4348-A2A1-F5D1147F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教務０１</dc:creator>
  <cp:keywords/>
  <dc:description/>
  <cp:lastModifiedBy>教務０１</cp:lastModifiedBy>
  <cp:revision>34</cp:revision>
  <cp:lastPrinted>2023-03-10T06:38:00Z</cp:lastPrinted>
  <dcterms:created xsi:type="dcterms:W3CDTF">2018-02-09T01:24:00Z</dcterms:created>
  <dcterms:modified xsi:type="dcterms:W3CDTF">2023-05-11T11:58:00Z</dcterms:modified>
</cp:coreProperties>
</file>