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6D" w:rsidRPr="00AA6AAE" w:rsidRDefault="008D01D0">
      <w:pPr>
        <w:rPr>
          <w:rFonts w:ascii="ＭＳ 明朝" w:eastAsia="ＭＳ 明朝" w:hAnsi="ＭＳ 明朝"/>
        </w:rPr>
      </w:pPr>
      <w:r w:rsidRPr="00AA6AAE">
        <w:rPr>
          <w:rFonts w:ascii="ＭＳ 明朝" w:eastAsia="ＭＳ 明朝" w:hAnsi="ＭＳ 明朝" w:hint="eastAsia"/>
        </w:rPr>
        <w:t>P1</w:t>
      </w:r>
    </w:p>
    <w:p w:rsidR="008D01D0" w:rsidRPr="00AA6AAE" w:rsidRDefault="008D01D0">
      <w:pPr>
        <w:rPr>
          <w:rFonts w:ascii="ＭＳ 明朝" w:eastAsia="ＭＳ 明朝" w:hAnsi="ＭＳ 明朝"/>
        </w:rPr>
      </w:pPr>
      <w:r w:rsidRPr="00AA6AAE">
        <w:rPr>
          <w:rFonts w:ascii="ＭＳ 明朝" w:eastAsia="ＭＳ 明朝" w:hAnsi="ＭＳ 明朝" w:hint="eastAsia"/>
        </w:rPr>
        <w:t>社会保障審議会障害者部会</w:t>
      </w:r>
    </w:p>
    <w:p w:rsidR="008D01D0" w:rsidRPr="00AA6AAE" w:rsidRDefault="008D01D0">
      <w:pPr>
        <w:rPr>
          <w:rFonts w:ascii="ＭＳ 明朝" w:eastAsia="ＭＳ 明朝" w:hAnsi="ＭＳ 明朝"/>
        </w:rPr>
      </w:pPr>
      <w:r w:rsidRPr="00AA6AAE">
        <w:rPr>
          <w:rFonts w:ascii="ＭＳ 明朝" w:eastAsia="ＭＳ 明朝" w:hAnsi="ＭＳ 明朝" w:hint="eastAsia"/>
        </w:rPr>
        <w:t>第89回（H30.3.2）資料4</w:t>
      </w:r>
    </w:p>
    <w:p w:rsidR="008D01D0" w:rsidRPr="00AA6AAE" w:rsidRDefault="008D01D0" w:rsidP="008D01D0">
      <w:pPr>
        <w:rPr>
          <w:rFonts w:ascii="ＭＳ 明朝" w:eastAsia="ＭＳ 明朝" w:hAnsi="ＭＳ 明朝"/>
        </w:rPr>
      </w:pPr>
      <w:r w:rsidRPr="00AA6AAE">
        <w:rPr>
          <w:rFonts w:ascii="ＭＳ 明朝" w:eastAsia="ＭＳ 明朝" w:hAnsi="ＭＳ 明朝" w:hint="eastAsia"/>
          <w:bCs/>
        </w:rPr>
        <w:t>障害福祉サービス等に係る給付費の審査について（法改正関係）</w:t>
      </w:r>
    </w:p>
    <w:p w:rsidR="008D01D0" w:rsidRPr="00AA6AAE" w:rsidRDefault="008D01D0" w:rsidP="008D01D0">
      <w:pPr>
        <w:rPr>
          <w:rFonts w:ascii="ＭＳ 明朝" w:eastAsia="ＭＳ 明朝" w:hAnsi="ＭＳ 明朝"/>
        </w:rPr>
      </w:pPr>
      <w:r w:rsidRPr="00AA6AAE">
        <w:rPr>
          <w:rFonts w:ascii="ＭＳ 明朝" w:eastAsia="ＭＳ 明朝" w:hAnsi="ＭＳ 明朝" w:hint="eastAsia"/>
          <w:bCs/>
        </w:rPr>
        <w:t>【審査支払事務の見直し（国保連における一次審査と市町村等における二次審査）】</w:t>
      </w:r>
    </w:p>
    <w:p w:rsidR="008D01D0" w:rsidRPr="00AA6AAE" w:rsidRDefault="008D01D0" w:rsidP="008D01D0">
      <w:pPr>
        <w:rPr>
          <w:rFonts w:ascii="ＭＳ 明朝" w:eastAsia="ＭＳ 明朝" w:hAnsi="ＭＳ 明朝"/>
        </w:rPr>
      </w:pPr>
      <w:r w:rsidRPr="00AA6AAE">
        <w:rPr>
          <w:rFonts w:ascii="ＭＳ 明朝" w:eastAsia="ＭＳ 明朝" w:hAnsi="ＭＳ 明朝" w:hint="eastAsia"/>
          <w:bCs/>
        </w:rPr>
        <w:t>○</w:t>
      </w:r>
      <w:r w:rsidRPr="00AA6AAE">
        <w:rPr>
          <w:rFonts w:ascii="ＭＳ 明朝" w:eastAsia="ＭＳ 明朝" w:hAnsi="ＭＳ 明朝" w:hint="eastAsia"/>
        </w:rPr>
        <w:t xml:space="preserve">　給付費の審査をより効果的・効率的に実施できるよう「改正障害者総合支援法等」において、自治体が国民健康保険団体連合会（以下、「国保連」という。）に障害福祉サービス等に係る給付費の｢審査｣を委託することを可能とする旨の規定が盛り込まれた。（平成３０年４月施行）</w:t>
      </w:r>
    </w:p>
    <w:p w:rsidR="008D01D0" w:rsidRPr="00AA6AAE" w:rsidRDefault="008D01D0" w:rsidP="008D01D0">
      <w:pPr>
        <w:rPr>
          <w:rFonts w:ascii="ＭＳ 明朝" w:eastAsia="ＭＳ 明朝" w:hAnsi="ＭＳ 明朝"/>
        </w:rPr>
      </w:pPr>
      <w:r w:rsidRPr="00AA6AAE">
        <w:rPr>
          <w:rFonts w:ascii="ＭＳ 明朝" w:eastAsia="ＭＳ 明朝" w:hAnsi="ＭＳ 明朝" w:hint="eastAsia"/>
          <w:bCs/>
        </w:rPr>
        <w:t>○</w:t>
      </w:r>
      <w:r w:rsidRPr="00AA6AAE">
        <w:rPr>
          <w:rFonts w:ascii="ＭＳ 明朝" w:eastAsia="ＭＳ 明朝" w:hAnsi="ＭＳ 明朝" w:hint="eastAsia"/>
        </w:rPr>
        <w:t xml:space="preserve">　改正法成立後、国民健康保険中央会における｢障害者総合支援法等審査事務研究会｣で、給付費等の審査支払事務の効果的･効率的な実施に向け、報告書が取りまとめられたこと等を受け、新たな審査支払事務で国保連は、「一次審査」において、都道府県等が作成する事業所台帳、市町村等が作成する受給者台帳等と照らし合わせ、問題ないと判定された請求情報は正常、報酬算定ルールに則してないもの等はエラー（返戻）とする。さらに報酬算定ルール上、市町村等の個別判断が必要となるもの等は「警告（重度）」として「警告」と区分する。また、市町村等における「二次審査」が効果的に実施されるよう、帳票に出力する項目の追加やエラーメッセージをわかりやすく見直した一次審査結果資料を作成し、市町村等に提供する等を行う。（別紙参照）</w:t>
      </w:r>
    </w:p>
    <w:p w:rsidR="008D01D0" w:rsidRPr="00AA6AAE" w:rsidRDefault="008D01D0" w:rsidP="008D01D0">
      <w:pPr>
        <w:rPr>
          <w:rFonts w:ascii="ＭＳ 明朝" w:eastAsia="ＭＳ 明朝" w:hAnsi="ＭＳ 明朝"/>
        </w:rPr>
      </w:pPr>
      <w:r w:rsidRPr="00AA6AAE">
        <w:rPr>
          <w:rFonts w:ascii="ＭＳ 明朝" w:eastAsia="ＭＳ 明朝" w:hAnsi="ＭＳ 明朝" w:hint="eastAsia"/>
          <w:bCs/>
        </w:rPr>
        <w:t>○</w:t>
      </w:r>
      <w:r w:rsidRPr="00AA6AAE">
        <w:rPr>
          <w:rFonts w:ascii="ＭＳ 明朝" w:eastAsia="ＭＳ 明朝" w:hAnsi="ＭＳ 明朝" w:hint="eastAsia"/>
        </w:rPr>
        <w:t xml:space="preserve">　市町村等は「二次審査」において、国保連の「一次審査」で「警告（重度）」及び「警告」となった項目について、支払とするか「返戻」とするかの判断等を行う。</w:t>
      </w:r>
    </w:p>
    <w:p w:rsidR="008D01D0" w:rsidRPr="00AA6AAE" w:rsidRDefault="008D01D0">
      <w:pPr>
        <w:rPr>
          <w:rFonts w:ascii="ＭＳ 明朝" w:eastAsia="ＭＳ 明朝" w:hAnsi="ＭＳ 明朝"/>
        </w:rPr>
      </w:pPr>
    </w:p>
    <w:p w:rsidR="008D01D0" w:rsidRPr="00AA6AAE" w:rsidRDefault="008D01D0">
      <w:pPr>
        <w:rPr>
          <w:rFonts w:ascii="ＭＳ 明朝" w:eastAsia="ＭＳ 明朝" w:hAnsi="ＭＳ 明朝"/>
        </w:rPr>
      </w:pPr>
      <w:r w:rsidRPr="00AA6AAE">
        <w:rPr>
          <w:rFonts w:ascii="ＭＳ 明朝" w:eastAsia="ＭＳ 明朝" w:hAnsi="ＭＳ 明朝" w:hint="eastAsia"/>
        </w:rPr>
        <w:t>P2</w:t>
      </w:r>
    </w:p>
    <w:p w:rsidR="008D01D0" w:rsidRPr="00AA6AAE" w:rsidRDefault="008D01D0">
      <w:pPr>
        <w:rPr>
          <w:rFonts w:ascii="ＭＳ 明朝" w:eastAsia="ＭＳ 明朝" w:hAnsi="ＭＳ 明朝"/>
        </w:rPr>
      </w:pPr>
      <w:r w:rsidRPr="00AA6AAE">
        <w:rPr>
          <w:rFonts w:ascii="ＭＳ 明朝" w:eastAsia="ＭＳ 明朝" w:hAnsi="ＭＳ 明朝" w:hint="eastAsia"/>
        </w:rPr>
        <w:t>別紙</w:t>
      </w:r>
    </w:p>
    <w:p w:rsidR="008D01D0" w:rsidRPr="00AA6AAE" w:rsidRDefault="008D01D0" w:rsidP="008D01D0">
      <w:pPr>
        <w:rPr>
          <w:rFonts w:ascii="ＭＳ 明朝" w:eastAsia="ＭＳ 明朝" w:hAnsi="ＭＳ 明朝"/>
        </w:rPr>
      </w:pPr>
      <w:r w:rsidRPr="00AA6AAE">
        <w:rPr>
          <w:rFonts w:ascii="ＭＳ 明朝" w:eastAsia="ＭＳ 明朝" w:hAnsi="ＭＳ 明朝" w:hint="eastAsia"/>
          <w:bCs/>
        </w:rPr>
        <w:t>国保連における一次審査と市町村等における二次審査</w:t>
      </w:r>
    </w:p>
    <w:p w:rsidR="008D01D0" w:rsidRPr="00AA6AAE" w:rsidRDefault="008D01D0" w:rsidP="008D01D0">
      <w:pPr>
        <w:rPr>
          <w:rFonts w:ascii="ＭＳ 明朝" w:eastAsia="ＭＳ 明朝" w:hAnsi="ＭＳ 明朝"/>
        </w:rPr>
      </w:pPr>
      <w:r w:rsidRPr="00AA6AAE">
        <w:rPr>
          <w:rFonts w:ascii="ＭＳ 明朝" w:eastAsia="ＭＳ 明朝" w:hAnsi="ＭＳ 明朝" w:hint="eastAsia"/>
        </w:rPr>
        <w:t xml:space="preserve">○　現在、国保連では市町村等における審査を支援するため、「事務点検」を実施しているが、新たな審査支払事務においては、国保連で「一次審査」を行い、一次審査における受付審査、資格審査及び支給量審査において、問題ないと判定された請求情報については、正常とする。また、各種台帳情報との不整合や報酬算定ルールに則していないもの（エラー）については、国保連の審査による返戻として処理する。 </w:t>
      </w:r>
    </w:p>
    <w:p w:rsidR="008D01D0" w:rsidRPr="00AA6AAE" w:rsidRDefault="008D01D0">
      <w:pPr>
        <w:rPr>
          <w:rFonts w:ascii="ＭＳ 明朝" w:eastAsia="ＭＳ 明朝" w:hAnsi="ＭＳ 明朝"/>
        </w:rPr>
      </w:pPr>
    </w:p>
    <w:p w:rsidR="008D01D0" w:rsidRPr="00AA6AAE" w:rsidRDefault="008D01D0">
      <w:pPr>
        <w:rPr>
          <w:rFonts w:ascii="ＭＳ 明朝" w:eastAsia="ＭＳ 明朝" w:hAnsi="ＭＳ 明朝"/>
        </w:rPr>
      </w:pPr>
      <w:r w:rsidRPr="00AA6AAE">
        <w:rPr>
          <w:rFonts w:ascii="ＭＳ 明朝" w:eastAsia="ＭＳ 明朝" w:hAnsi="ＭＳ 明朝" w:hint="eastAsia"/>
        </w:rPr>
        <w:t>実施項目　国保連において新たに実施する内容</w:t>
      </w:r>
    </w:p>
    <w:p w:rsidR="008D01D0" w:rsidRPr="00AA6AAE" w:rsidRDefault="008D01D0" w:rsidP="008D01D0">
      <w:pPr>
        <w:rPr>
          <w:rFonts w:ascii="ＭＳ 明朝" w:eastAsia="ＭＳ 明朝" w:hAnsi="ＭＳ 明朝"/>
        </w:rPr>
      </w:pPr>
      <w:r w:rsidRPr="00AA6AAE">
        <w:rPr>
          <w:rFonts w:ascii="ＭＳ 明朝" w:eastAsia="ＭＳ 明朝" w:hAnsi="ＭＳ 明朝" w:hint="eastAsia"/>
        </w:rPr>
        <w:t>実施項目　「警告」から「エラー」への移行　国保連において新たに実施する内容　事業所からの届出内容や受給者の支給決定内容との不一致等、これまで「警告」とし、市町村で審査していたもののうち、明らかにデータ間に不整合があるものについては、国保連の審査で「エラー（返戻）」とする。</w:t>
      </w:r>
    </w:p>
    <w:p w:rsidR="008D01D0" w:rsidRPr="00AA6AAE" w:rsidRDefault="008D01D0" w:rsidP="008D01D0">
      <w:pPr>
        <w:rPr>
          <w:rFonts w:ascii="ＭＳ 明朝" w:eastAsia="ＭＳ 明朝" w:hAnsi="ＭＳ 明朝"/>
        </w:rPr>
      </w:pPr>
    </w:p>
    <w:p w:rsidR="008D01D0" w:rsidRPr="00AA6AAE" w:rsidRDefault="008D01D0" w:rsidP="008D01D0">
      <w:pPr>
        <w:rPr>
          <w:rFonts w:ascii="ＭＳ 明朝" w:eastAsia="ＭＳ 明朝" w:hAnsi="ＭＳ 明朝"/>
        </w:rPr>
      </w:pPr>
      <w:r w:rsidRPr="00AA6AAE">
        <w:rPr>
          <w:rFonts w:ascii="ＭＳ 明朝" w:eastAsia="ＭＳ 明朝" w:hAnsi="ＭＳ 明朝" w:hint="eastAsia"/>
        </w:rPr>
        <w:lastRenderedPageBreak/>
        <w:t>実施項目　「警告（重度）」の追加　国保連において新たに実施する内容　報酬の算定ルール上、市町村の個別の判断が必要となるものや複数事業所が関係し、機械的に判断ができないものなど、市町村の二次審査において確認が必要なものについて、「警告（重度）」と区分する。</w:t>
      </w:r>
    </w:p>
    <w:p w:rsidR="008D01D0" w:rsidRPr="00AA6AAE" w:rsidRDefault="008D01D0" w:rsidP="008D01D0">
      <w:pPr>
        <w:rPr>
          <w:rFonts w:ascii="ＭＳ 明朝" w:eastAsia="ＭＳ 明朝" w:hAnsi="ＭＳ 明朝"/>
        </w:rPr>
      </w:pPr>
    </w:p>
    <w:p w:rsidR="008D01D0" w:rsidRPr="00AA6AAE" w:rsidRDefault="008D01D0" w:rsidP="008D01D0">
      <w:pPr>
        <w:rPr>
          <w:rFonts w:ascii="ＭＳ 明朝" w:eastAsia="ＭＳ 明朝" w:hAnsi="ＭＳ 明朝"/>
        </w:rPr>
      </w:pPr>
      <w:r w:rsidRPr="00AA6AAE">
        <w:rPr>
          <w:rFonts w:ascii="ＭＳ 明朝" w:eastAsia="ＭＳ 明朝" w:hAnsi="ＭＳ 明朝" w:hint="eastAsia"/>
        </w:rPr>
        <w:t>実施項目　審査内容の充実　国保連において新たに実施する内容　これまでの事務点検ではチェックを行わず、市町村の審査においてチェックしていたもののうち、機械的にチェックができるものについて、チェック内容を拡充する。</w:t>
      </w:r>
    </w:p>
    <w:p w:rsidR="008D01D0" w:rsidRPr="00AA6AAE" w:rsidRDefault="008D01D0" w:rsidP="008D01D0">
      <w:pPr>
        <w:rPr>
          <w:rFonts w:ascii="ＭＳ 明朝" w:eastAsia="ＭＳ 明朝" w:hAnsi="ＭＳ 明朝"/>
        </w:rPr>
      </w:pPr>
      <w:r w:rsidRPr="00AA6AAE">
        <w:rPr>
          <w:rFonts w:ascii="ＭＳ 明朝" w:eastAsia="ＭＳ 明朝" w:hAnsi="ＭＳ 明朝" w:hint="eastAsia"/>
        </w:rPr>
        <w:t>例：同一日・同一利用時間帯での重複サービス利用がないことのチェック　など</w:t>
      </w:r>
    </w:p>
    <w:p w:rsidR="008D01D0" w:rsidRPr="00AA6AAE" w:rsidRDefault="008D01D0" w:rsidP="008D01D0">
      <w:pPr>
        <w:rPr>
          <w:rFonts w:ascii="ＭＳ 明朝" w:eastAsia="ＭＳ 明朝" w:hAnsi="ＭＳ 明朝"/>
        </w:rPr>
      </w:pPr>
    </w:p>
    <w:p w:rsidR="008D01D0" w:rsidRPr="00AA6AAE" w:rsidRDefault="008D01D0" w:rsidP="008D01D0">
      <w:pPr>
        <w:rPr>
          <w:rFonts w:ascii="ＭＳ 明朝" w:eastAsia="ＭＳ 明朝" w:hAnsi="ＭＳ 明朝"/>
        </w:rPr>
      </w:pPr>
      <w:r w:rsidRPr="00AA6AAE">
        <w:rPr>
          <w:rFonts w:ascii="ＭＳ 明朝" w:eastAsia="ＭＳ 明朝" w:hAnsi="ＭＳ 明朝" w:hint="eastAsia"/>
        </w:rPr>
        <w:t>実施項目　一次審査結果資料の作成　国保連において新たに実施する内容　市町村における二次審査を効率的に行うことができるようにするため、帳票に出力する項目の追加やエラーメッセージをよりわかりやすい内容に見直す等、国保連の一次審査の結果として市町村に提供する資料の内容を充実する。</w:t>
      </w:r>
    </w:p>
    <w:p w:rsidR="008D01D0" w:rsidRPr="00AA6AAE" w:rsidRDefault="008D01D0" w:rsidP="008D01D0">
      <w:pPr>
        <w:rPr>
          <w:rFonts w:ascii="ＭＳ 明朝" w:eastAsia="ＭＳ 明朝" w:hAnsi="ＭＳ 明朝"/>
        </w:rPr>
      </w:pPr>
    </w:p>
    <w:p w:rsidR="008D01D0" w:rsidRPr="00AA6AAE" w:rsidRDefault="008D01D0">
      <w:pPr>
        <w:rPr>
          <w:rFonts w:ascii="ＭＳ 明朝" w:eastAsia="ＭＳ 明朝" w:hAnsi="ＭＳ 明朝"/>
        </w:rPr>
      </w:pPr>
      <w:bookmarkStart w:id="0" w:name="_GoBack"/>
      <w:bookmarkEnd w:id="0"/>
    </w:p>
    <w:sectPr w:rsidR="008D01D0" w:rsidRPr="00AA6AA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D0"/>
    <w:rsid w:val="00131A6D"/>
    <w:rsid w:val="008D01D0"/>
    <w:rsid w:val="00AA6AAE"/>
    <w:rsid w:val="00DB1AD0"/>
    <w:rsid w:val="00DC5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D01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D01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067944">
      <w:bodyDiv w:val="1"/>
      <w:marLeft w:val="0"/>
      <w:marRight w:val="0"/>
      <w:marTop w:val="0"/>
      <w:marBottom w:val="0"/>
      <w:divBdr>
        <w:top w:val="none" w:sz="0" w:space="0" w:color="auto"/>
        <w:left w:val="none" w:sz="0" w:space="0" w:color="auto"/>
        <w:bottom w:val="none" w:sz="0" w:space="0" w:color="auto"/>
        <w:right w:val="none" w:sz="0" w:space="0" w:color="auto"/>
      </w:divBdr>
    </w:div>
    <w:div w:id="752895104">
      <w:bodyDiv w:val="1"/>
      <w:marLeft w:val="0"/>
      <w:marRight w:val="0"/>
      <w:marTop w:val="0"/>
      <w:marBottom w:val="0"/>
      <w:divBdr>
        <w:top w:val="none" w:sz="0" w:space="0" w:color="auto"/>
        <w:left w:val="none" w:sz="0" w:space="0" w:color="auto"/>
        <w:bottom w:val="none" w:sz="0" w:space="0" w:color="auto"/>
        <w:right w:val="none" w:sz="0" w:space="0" w:color="auto"/>
      </w:divBdr>
    </w:div>
    <w:div w:id="1020468406">
      <w:bodyDiv w:val="1"/>
      <w:marLeft w:val="0"/>
      <w:marRight w:val="0"/>
      <w:marTop w:val="0"/>
      <w:marBottom w:val="0"/>
      <w:divBdr>
        <w:top w:val="none" w:sz="0" w:space="0" w:color="auto"/>
        <w:left w:val="none" w:sz="0" w:space="0" w:color="auto"/>
        <w:bottom w:val="none" w:sz="0" w:space="0" w:color="auto"/>
        <w:right w:val="none" w:sz="0" w:space="0" w:color="auto"/>
      </w:divBdr>
    </w:div>
    <w:div w:id="1107432204">
      <w:bodyDiv w:val="1"/>
      <w:marLeft w:val="0"/>
      <w:marRight w:val="0"/>
      <w:marTop w:val="0"/>
      <w:marBottom w:val="0"/>
      <w:divBdr>
        <w:top w:val="none" w:sz="0" w:space="0" w:color="auto"/>
        <w:left w:val="none" w:sz="0" w:space="0" w:color="auto"/>
        <w:bottom w:val="none" w:sz="0" w:space="0" w:color="auto"/>
        <w:right w:val="none" w:sz="0" w:space="0" w:color="auto"/>
      </w:divBdr>
    </w:div>
    <w:div w:id="1364478365">
      <w:bodyDiv w:val="1"/>
      <w:marLeft w:val="0"/>
      <w:marRight w:val="0"/>
      <w:marTop w:val="0"/>
      <w:marBottom w:val="0"/>
      <w:divBdr>
        <w:top w:val="none" w:sz="0" w:space="0" w:color="auto"/>
        <w:left w:val="none" w:sz="0" w:space="0" w:color="auto"/>
        <w:bottom w:val="none" w:sz="0" w:space="0" w:color="auto"/>
        <w:right w:val="none" w:sz="0" w:space="0" w:color="auto"/>
      </w:divBdr>
    </w:div>
    <w:div w:id="1488090042">
      <w:bodyDiv w:val="1"/>
      <w:marLeft w:val="0"/>
      <w:marRight w:val="0"/>
      <w:marTop w:val="0"/>
      <w:marBottom w:val="0"/>
      <w:divBdr>
        <w:top w:val="none" w:sz="0" w:space="0" w:color="auto"/>
        <w:left w:val="none" w:sz="0" w:space="0" w:color="auto"/>
        <w:bottom w:val="none" w:sz="0" w:space="0" w:color="auto"/>
        <w:right w:val="none" w:sz="0" w:space="0" w:color="auto"/>
      </w:divBdr>
    </w:div>
    <w:div w:id="1534074175">
      <w:bodyDiv w:val="1"/>
      <w:marLeft w:val="0"/>
      <w:marRight w:val="0"/>
      <w:marTop w:val="0"/>
      <w:marBottom w:val="0"/>
      <w:divBdr>
        <w:top w:val="none" w:sz="0" w:space="0" w:color="auto"/>
        <w:left w:val="none" w:sz="0" w:space="0" w:color="auto"/>
        <w:bottom w:val="none" w:sz="0" w:space="0" w:color="auto"/>
        <w:right w:val="none" w:sz="0" w:space="0" w:color="auto"/>
      </w:divBdr>
    </w:div>
    <w:div w:id="1922375565">
      <w:bodyDiv w:val="1"/>
      <w:marLeft w:val="0"/>
      <w:marRight w:val="0"/>
      <w:marTop w:val="0"/>
      <w:marBottom w:val="0"/>
      <w:divBdr>
        <w:top w:val="none" w:sz="0" w:space="0" w:color="auto"/>
        <w:left w:val="none" w:sz="0" w:space="0" w:color="auto"/>
        <w:bottom w:val="none" w:sz="0" w:space="0" w:color="auto"/>
        <w:right w:val="none" w:sz="0" w:space="0" w:color="auto"/>
      </w:divBdr>
    </w:div>
    <w:div w:id="210692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平野俊輔</dc:creator>
  <cp:keywords/>
  <dc:description/>
  <cp:lastModifiedBy>厚生労働省ネットワークシステム</cp:lastModifiedBy>
  <cp:revision>2</cp:revision>
  <dcterms:created xsi:type="dcterms:W3CDTF">2018-02-25T11:05:00Z</dcterms:created>
  <dcterms:modified xsi:type="dcterms:W3CDTF">2018-02-27T00:50:00Z</dcterms:modified>
</cp:coreProperties>
</file>