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DC" w:rsidRDefault="0043745F" w:rsidP="00EF47FA">
      <w:pPr>
        <w:jc w:val="cente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56BAA925" wp14:editId="51F7C94E">
                <wp:simplePos x="0" y="0"/>
                <wp:positionH relativeFrom="column">
                  <wp:posOffset>4570730</wp:posOffset>
                </wp:positionH>
                <wp:positionV relativeFrom="paragraph">
                  <wp:posOffset>-375285</wp:posOffset>
                </wp:positionV>
                <wp:extent cx="811530" cy="324485"/>
                <wp:effectExtent l="0" t="0" r="26670"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24485"/>
                        </a:xfrm>
                        <a:prstGeom prst="rect">
                          <a:avLst/>
                        </a:prstGeom>
                        <a:solidFill>
                          <a:srgbClr val="FFFFFF"/>
                        </a:solidFill>
                        <a:ln w="9525">
                          <a:solidFill>
                            <a:srgbClr val="000000"/>
                          </a:solidFill>
                          <a:miter lim="800000"/>
                          <a:headEnd/>
                          <a:tailEnd/>
                        </a:ln>
                      </wps:spPr>
                      <wps:txbx>
                        <w:txbxContent>
                          <w:p w:rsidR="0043745F" w:rsidRDefault="0043745F" w:rsidP="0043745F">
                            <w:pPr>
                              <w:jc w:val="center"/>
                              <w:rPr>
                                <w:rFonts w:asciiTheme="minorEastAsia" w:hAnsiTheme="minorEastAsia"/>
                              </w:rPr>
                            </w:pPr>
                            <w:r>
                              <w:rPr>
                                <w:rFonts w:asciiTheme="minorEastAsia" w:hAnsiTheme="minorEastAsia" w:hint="eastAsia"/>
                              </w:rPr>
                              <w:t>参考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9.9pt;margin-top:-29.55pt;width:63.9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">
                <v:textbox>
                  <w:txbxContent>
                    <w:p w:rsidR="0043745F" w:rsidRDefault="0043745F" w:rsidP="0043745F">
                      <w:pPr>
                        <w:jc w:val="center"/>
                        <w:rPr>
                          <w:rFonts w:asciiTheme="minorEastAsia" w:hAnsiTheme="minorEastAsia"/>
                        </w:rPr>
                      </w:pPr>
                      <w:r>
                        <w:rPr>
                          <w:rFonts w:asciiTheme="minorEastAsia" w:hAnsiTheme="minorEastAsia" w:hint="eastAsia"/>
                        </w:rPr>
                        <w:t>参考</w:t>
                      </w:r>
                    </w:p>
                  </w:txbxContent>
                </v:textbox>
              </v:shape>
            </w:pict>
          </mc:Fallback>
        </mc:AlternateContent>
      </w:r>
      <w:r w:rsidR="00EF47FA">
        <w:rPr>
          <w:rFonts w:hint="eastAsia"/>
        </w:rPr>
        <w:t>2013</w:t>
      </w:r>
      <w:r w:rsidR="00C252DC">
        <w:rPr>
          <w:rFonts w:hint="eastAsia"/>
        </w:rPr>
        <w:t>年条約勧告適用専門家委員会</w:t>
      </w:r>
      <w:r w:rsidR="00EF47FA">
        <w:rPr>
          <w:rFonts w:hint="eastAsia"/>
        </w:rPr>
        <w:t xml:space="preserve">  </w:t>
      </w:r>
      <w:r w:rsidR="00EF47FA">
        <w:rPr>
          <w:rFonts w:hint="eastAsia"/>
        </w:rPr>
        <w:t>ＩＬＯ第</w:t>
      </w:r>
      <w:r w:rsidR="00EF47FA">
        <w:rPr>
          <w:rFonts w:hint="eastAsia"/>
        </w:rPr>
        <w:t>27</w:t>
      </w:r>
      <w:r w:rsidR="00C252DC">
        <w:rPr>
          <w:rFonts w:hint="eastAsia"/>
        </w:rPr>
        <w:t>号条約</w:t>
      </w:r>
      <w:r w:rsidR="00CE6FBC">
        <w:rPr>
          <w:rFonts w:hint="eastAsia"/>
        </w:rPr>
        <w:t>ダイレクトリクエスト</w:t>
      </w:r>
      <w:r w:rsidR="00C252DC">
        <w:rPr>
          <w:rFonts w:hint="eastAsia"/>
        </w:rPr>
        <w:t>（抄）</w:t>
      </w:r>
    </w:p>
    <w:p w:rsidR="00C252DC" w:rsidRPr="00092A6E" w:rsidRDefault="00C252DC" w:rsidP="00C252DC">
      <w:pPr>
        <w:jc w:val="right"/>
      </w:pPr>
      <w:r>
        <w:rPr>
          <w:rFonts w:hint="eastAsia"/>
        </w:rPr>
        <w:t>（厚生労働省国際課仮訳）</w:t>
      </w:r>
    </w:p>
    <w:p w:rsidR="00C252DC" w:rsidRPr="00EF47FA" w:rsidRDefault="00114923" w:rsidP="00EF47FA">
      <w:pPr>
        <w:jc w:val="center"/>
        <w:rPr>
          <w:szCs w:val="21"/>
        </w:rPr>
      </w:pPr>
      <w:r>
        <w:rPr>
          <w:rFonts w:hint="eastAsia"/>
          <w:szCs w:val="21"/>
        </w:rPr>
        <w:t>船舶に依り運送せらるる重包装貨物の重量</w:t>
      </w:r>
      <w:r w:rsidR="003214D6">
        <w:rPr>
          <w:rFonts w:hint="eastAsia"/>
          <w:szCs w:val="21"/>
        </w:rPr>
        <w:t>標</w:t>
      </w:r>
      <w:r w:rsidR="00C252DC" w:rsidRPr="00C252DC">
        <w:rPr>
          <w:rFonts w:hint="eastAsia"/>
          <w:szCs w:val="21"/>
        </w:rPr>
        <w:t>示に関する条約</w:t>
      </w:r>
      <w:r w:rsidR="00EF47FA">
        <w:rPr>
          <w:rFonts w:hint="eastAsia"/>
          <w:szCs w:val="21"/>
        </w:rPr>
        <w:t xml:space="preserve">  </w:t>
      </w:r>
      <w:r w:rsidR="00EF47FA">
        <w:rPr>
          <w:rFonts w:hint="eastAsia"/>
        </w:rPr>
        <w:t>1929</w:t>
      </w:r>
      <w:r w:rsidR="00EF47FA">
        <w:rPr>
          <w:rFonts w:hint="eastAsia"/>
        </w:rPr>
        <w:t>年（第</w:t>
      </w:r>
      <w:r w:rsidR="00EF47FA">
        <w:rPr>
          <w:rFonts w:hint="eastAsia"/>
        </w:rPr>
        <w:t>27</w:t>
      </w:r>
      <w:r w:rsidR="00C252DC">
        <w:rPr>
          <w:rFonts w:hint="eastAsia"/>
        </w:rPr>
        <w:t>号）</w:t>
      </w:r>
    </w:p>
    <w:p w:rsidR="00C252DC" w:rsidRDefault="00C252DC" w:rsidP="00C252DC">
      <w:pPr>
        <w:jc w:val="center"/>
      </w:pPr>
      <w:r>
        <w:rPr>
          <w:rFonts w:hint="eastAsia"/>
        </w:rPr>
        <w:t>（</w:t>
      </w:r>
      <w:r w:rsidR="00EF47FA">
        <w:rPr>
          <w:rFonts w:hint="eastAsia"/>
        </w:rPr>
        <w:t>日本批准：</w:t>
      </w:r>
      <w:r w:rsidR="00EF47FA">
        <w:rPr>
          <w:rFonts w:hint="eastAsia"/>
        </w:rPr>
        <w:t>1931</w:t>
      </w:r>
      <w:r>
        <w:rPr>
          <w:rFonts w:hint="eastAsia"/>
        </w:rPr>
        <w:t>年）</w:t>
      </w:r>
    </w:p>
    <w:p w:rsidR="00C252DC" w:rsidRDefault="00C252DC" w:rsidP="003F2E9A">
      <w:pPr>
        <w:ind w:firstLineChars="100" w:firstLine="210"/>
        <w:rPr>
          <w:szCs w:val="21"/>
        </w:rPr>
      </w:pPr>
    </w:p>
    <w:p w:rsidR="007207D7" w:rsidRDefault="00E77595" w:rsidP="00A368FD">
      <w:pPr>
        <w:ind w:firstLineChars="100" w:firstLine="211"/>
        <w:rPr>
          <w:b/>
          <w:szCs w:val="21"/>
        </w:rPr>
      </w:pPr>
      <w:r w:rsidRPr="008A3338">
        <w:rPr>
          <w:rFonts w:hint="eastAsia"/>
          <w:b/>
          <w:szCs w:val="21"/>
        </w:rPr>
        <w:t>条約の第</w:t>
      </w:r>
      <w:r w:rsidRPr="008A3338">
        <w:rPr>
          <w:rFonts w:hint="eastAsia"/>
          <w:b/>
          <w:szCs w:val="21"/>
        </w:rPr>
        <w:t>1</w:t>
      </w:r>
      <w:r w:rsidRPr="008A3338">
        <w:rPr>
          <w:rFonts w:hint="eastAsia"/>
          <w:b/>
          <w:szCs w:val="21"/>
        </w:rPr>
        <w:t>条の第</w:t>
      </w:r>
      <w:r w:rsidRPr="008A3338">
        <w:rPr>
          <w:rFonts w:hint="eastAsia"/>
          <w:b/>
          <w:szCs w:val="21"/>
        </w:rPr>
        <w:t>4</w:t>
      </w:r>
      <w:r w:rsidRPr="008A3338">
        <w:rPr>
          <w:rFonts w:hint="eastAsia"/>
          <w:b/>
          <w:szCs w:val="21"/>
        </w:rPr>
        <w:t>項を参照して、委員会は、関連</w:t>
      </w:r>
      <w:r w:rsidR="00B93004">
        <w:rPr>
          <w:rFonts w:hint="eastAsia"/>
          <w:b/>
          <w:szCs w:val="21"/>
        </w:rPr>
        <w:t>法規</w:t>
      </w:r>
      <w:r w:rsidRPr="008A3338">
        <w:rPr>
          <w:rFonts w:hint="eastAsia"/>
          <w:b/>
          <w:szCs w:val="21"/>
        </w:rPr>
        <w:t>及び</w:t>
      </w:r>
      <w:r w:rsidR="0048082C" w:rsidRPr="008A3338">
        <w:rPr>
          <w:rFonts w:hint="eastAsia"/>
          <w:b/>
          <w:szCs w:val="21"/>
        </w:rPr>
        <w:t>国内</w:t>
      </w:r>
      <w:r w:rsidRPr="008A3338">
        <w:rPr>
          <w:rFonts w:hint="eastAsia"/>
          <w:b/>
          <w:szCs w:val="21"/>
        </w:rPr>
        <w:t>適用法規により誰が貨物の重量を記載する必要があるかを指定するように政府に依頼する</w:t>
      </w:r>
      <w:r w:rsidR="00B93004">
        <w:rPr>
          <w:rFonts w:hint="eastAsia"/>
          <w:b/>
          <w:szCs w:val="21"/>
        </w:rPr>
        <w:t>。また</w:t>
      </w:r>
      <w:r w:rsidRPr="008A3338">
        <w:rPr>
          <w:rFonts w:hint="eastAsia"/>
          <w:b/>
          <w:szCs w:val="21"/>
        </w:rPr>
        <w:t>委員会は、</w:t>
      </w:r>
      <w:r w:rsidR="00B93004" w:rsidRPr="008A3338">
        <w:rPr>
          <w:rFonts w:hint="eastAsia"/>
          <w:b/>
          <w:szCs w:val="21"/>
        </w:rPr>
        <w:t>JTUC</w:t>
      </w:r>
      <w:r w:rsidR="00B93004" w:rsidRPr="008A3338">
        <w:rPr>
          <w:rFonts w:hint="eastAsia"/>
          <w:b/>
          <w:szCs w:val="21"/>
        </w:rPr>
        <w:t>－連合によって提起された懸念に関して、</w:t>
      </w:r>
      <w:r w:rsidRPr="008A3338">
        <w:rPr>
          <w:rFonts w:hint="eastAsia"/>
          <w:b/>
          <w:szCs w:val="21"/>
        </w:rPr>
        <w:t>条約の適用</w:t>
      </w:r>
      <w:r w:rsidR="00B93004">
        <w:rPr>
          <w:rFonts w:hint="eastAsia"/>
          <w:b/>
          <w:szCs w:val="21"/>
        </w:rPr>
        <w:t>や</w:t>
      </w:r>
      <w:r w:rsidR="0048082C" w:rsidRPr="008A3338">
        <w:rPr>
          <w:rFonts w:hint="eastAsia"/>
          <w:b/>
          <w:szCs w:val="21"/>
        </w:rPr>
        <w:t>職業災害を防止するために講じられる措置に</w:t>
      </w:r>
      <w:r w:rsidR="00B93004">
        <w:rPr>
          <w:rFonts w:hint="eastAsia"/>
          <w:b/>
          <w:szCs w:val="21"/>
        </w:rPr>
        <w:t>ついてのすべての関連</w:t>
      </w:r>
      <w:r w:rsidR="0048082C" w:rsidRPr="008A3338">
        <w:rPr>
          <w:rFonts w:hint="eastAsia"/>
          <w:b/>
          <w:szCs w:val="21"/>
        </w:rPr>
        <w:t>情報を継続して</w:t>
      </w:r>
      <w:r w:rsidR="00B93004">
        <w:rPr>
          <w:rFonts w:hint="eastAsia"/>
          <w:b/>
          <w:szCs w:val="21"/>
        </w:rPr>
        <w:t>提供</w:t>
      </w:r>
      <w:r w:rsidR="0048082C" w:rsidRPr="008A3338">
        <w:rPr>
          <w:rFonts w:hint="eastAsia"/>
          <w:b/>
          <w:szCs w:val="21"/>
        </w:rPr>
        <w:t>するように政府</w:t>
      </w:r>
      <w:r w:rsidR="00B93004">
        <w:rPr>
          <w:rFonts w:hint="eastAsia"/>
          <w:b/>
          <w:szCs w:val="21"/>
        </w:rPr>
        <w:t>に</w:t>
      </w:r>
      <w:r w:rsidR="0048082C" w:rsidRPr="008A3338">
        <w:rPr>
          <w:rFonts w:hint="eastAsia"/>
          <w:b/>
          <w:szCs w:val="21"/>
        </w:rPr>
        <w:t>依頼する。</w:t>
      </w:r>
    </w:p>
    <w:p w:rsidR="00373DCF" w:rsidRDefault="00373DCF">
      <w:pPr>
        <w:widowControl/>
        <w:jc w:val="left"/>
        <w:rPr>
          <w:b/>
          <w:szCs w:val="21"/>
        </w:rPr>
      </w:pPr>
      <w:r>
        <w:rPr>
          <w:b/>
          <w:szCs w:val="21"/>
        </w:rPr>
        <w:br w:type="page"/>
      </w:r>
    </w:p>
    <w:p w:rsidR="00373DCF" w:rsidRDefault="00EF47FA" w:rsidP="00EF47FA">
      <w:pPr>
        <w:jc w:val="center"/>
      </w:pPr>
      <w:r>
        <w:rPr>
          <w:rFonts w:hint="eastAsia"/>
        </w:rPr>
        <w:lastRenderedPageBreak/>
        <w:t>2015</w:t>
      </w:r>
      <w:r w:rsidR="00373DCF">
        <w:rPr>
          <w:rFonts w:hint="eastAsia"/>
        </w:rPr>
        <w:t>年条約勧告適用専門家委員会</w:t>
      </w:r>
      <w:r>
        <w:rPr>
          <w:rFonts w:hint="eastAsia"/>
        </w:rPr>
        <w:t xml:space="preserve">  </w:t>
      </w:r>
      <w:r>
        <w:rPr>
          <w:rFonts w:hint="eastAsia"/>
        </w:rPr>
        <w:t>ＩＬＯ第</w:t>
      </w:r>
      <w:r>
        <w:rPr>
          <w:rFonts w:hint="eastAsia"/>
        </w:rPr>
        <w:t>81</w:t>
      </w:r>
      <w:r w:rsidR="00373DCF">
        <w:rPr>
          <w:rFonts w:hint="eastAsia"/>
        </w:rPr>
        <w:t>号条約ダイレクトリクエスト（抄）</w:t>
      </w:r>
    </w:p>
    <w:p w:rsidR="00373DCF" w:rsidRDefault="00373DCF" w:rsidP="00373DCF">
      <w:pPr>
        <w:jc w:val="right"/>
      </w:pPr>
      <w:r>
        <w:rPr>
          <w:rFonts w:hint="eastAsia"/>
        </w:rPr>
        <w:t>（厚生労働省国際課仮訳）</w:t>
      </w:r>
    </w:p>
    <w:p w:rsidR="00373DCF" w:rsidRDefault="00EF47FA" w:rsidP="00EF47FA">
      <w:pPr>
        <w:jc w:val="center"/>
      </w:pPr>
      <w:r>
        <w:rPr>
          <w:rFonts w:hint="eastAsia"/>
          <w:szCs w:val="21"/>
        </w:rPr>
        <w:t>工業及び商業における</w:t>
      </w:r>
      <w:r w:rsidR="00373DCF">
        <w:rPr>
          <w:rFonts w:hint="eastAsia"/>
          <w:szCs w:val="21"/>
        </w:rPr>
        <w:t>労働監督に関する条約</w:t>
      </w:r>
      <w:r>
        <w:rPr>
          <w:rFonts w:hint="eastAsia"/>
          <w:szCs w:val="21"/>
        </w:rPr>
        <w:t xml:space="preserve">  </w:t>
      </w:r>
      <w:r>
        <w:rPr>
          <w:rFonts w:hint="eastAsia"/>
        </w:rPr>
        <w:t>1931</w:t>
      </w:r>
      <w:r>
        <w:rPr>
          <w:rFonts w:hint="eastAsia"/>
        </w:rPr>
        <w:t>年（第</w:t>
      </w:r>
      <w:r>
        <w:rPr>
          <w:rFonts w:hint="eastAsia"/>
        </w:rPr>
        <w:t>81</w:t>
      </w:r>
      <w:r w:rsidR="00373DCF">
        <w:rPr>
          <w:rFonts w:hint="eastAsia"/>
        </w:rPr>
        <w:t>号）</w:t>
      </w:r>
    </w:p>
    <w:p w:rsidR="00EF47FA" w:rsidRPr="00EF47FA" w:rsidRDefault="00EF47FA" w:rsidP="00EF47FA">
      <w:pPr>
        <w:jc w:val="center"/>
        <w:rPr>
          <w:szCs w:val="21"/>
        </w:rPr>
      </w:pPr>
      <w:r>
        <w:rPr>
          <w:rFonts w:hint="eastAsia"/>
        </w:rPr>
        <w:t>（日本批准：</w:t>
      </w:r>
      <w:r>
        <w:rPr>
          <w:rFonts w:hint="eastAsia"/>
        </w:rPr>
        <w:t xml:space="preserve"> 1953</w:t>
      </w:r>
      <w:r>
        <w:rPr>
          <w:rFonts w:hint="eastAsia"/>
        </w:rPr>
        <w:t>年）</w:t>
      </w:r>
    </w:p>
    <w:p w:rsidR="00373DCF" w:rsidRDefault="00373DCF" w:rsidP="00373DCF">
      <w:pPr>
        <w:ind w:firstLineChars="100" w:firstLine="210"/>
        <w:rPr>
          <w:szCs w:val="21"/>
        </w:rPr>
      </w:pPr>
    </w:p>
    <w:p w:rsidR="00373DCF" w:rsidRPr="00A92735" w:rsidRDefault="00373DCF" w:rsidP="00373DCF">
      <w:pPr>
        <w:rPr>
          <w:szCs w:val="21"/>
        </w:rPr>
      </w:pPr>
    </w:p>
    <w:p w:rsidR="00373DCF" w:rsidRPr="004E4EB2" w:rsidRDefault="00373DCF" w:rsidP="00373DCF">
      <w:pPr>
        <w:ind w:firstLineChars="100" w:firstLine="210"/>
        <w:rPr>
          <w:szCs w:val="21"/>
        </w:rPr>
      </w:pPr>
      <w:r w:rsidRPr="004E4EB2">
        <w:rPr>
          <w:rFonts w:hint="eastAsia"/>
          <w:szCs w:val="21"/>
        </w:rPr>
        <w:t>委員会は、政府の報告</w:t>
      </w:r>
      <w:r>
        <w:rPr>
          <w:rFonts w:hint="eastAsia"/>
          <w:szCs w:val="21"/>
        </w:rPr>
        <w:t>書</w:t>
      </w:r>
      <w:r w:rsidRPr="004E4EB2">
        <w:rPr>
          <w:rFonts w:hint="eastAsia"/>
          <w:szCs w:val="21"/>
        </w:rPr>
        <w:t>に</w:t>
      </w:r>
      <w:r>
        <w:rPr>
          <w:rFonts w:hint="eastAsia"/>
          <w:szCs w:val="21"/>
        </w:rPr>
        <w:t>提示された、</w:t>
      </w:r>
      <w:r w:rsidRPr="004E4EB2">
        <w:rPr>
          <w:rFonts w:hint="eastAsia"/>
          <w:szCs w:val="21"/>
        </w:rPr>
        <w:t>日本労働組合総連合会（</w:t>
      </w:r>
      <w:r w:rsidRPr="004E4EB2">
        <w:rPr>
          <w:rFonts w:hint="eastAsia"/>
          <w:szCs w:val="21"/>
        </w:rPr>
        <w:t>JTUC</w:t>
      </w:r>
      <w:r w:rsidRPr="004E4EB2">
        <w:rPr>
          <w:rFonts w:hint="eastAsia"/>
          <w:szCs w:val="21"/>
        </w:rPr>
        <w:t>－連合）及び日本経済団体連合会（日本経団連）</w:t>
      </w:r>
      <w:r>
        <w:rPr>
          <w:rFonts w:hint="eastAsia"/>
          <w:szCs w:val="21"/>
        </w:rPr>
        <w:t>の</w:t>
      </w:r>
      <w:r w:rsidRPr="004E4EB2">
        <w:rPr>
          <w:rFonts w:hint="eastAsia"/>
          <w:szCs w:val="21"/>
        </w:rPr>
        <w:t>見解に留意する。</w:t>
      </w:r>
    </w:p>
    <w:p w:rsidR="00373DCF" w:rsidRPr="004E4EB2" w:rsidRDefault="00373DCF" w:rsidP="00373DCF">
      <w:pPr>
        <w:rPr>
          <w:szCs w:val="21"/>
        </w:rPr>
      </w:pPr>
    </w:p>
    <w:p w:rsidR="00373DCF" w:rsidRPr="004E4EB2" w:rsidRDefault="00373DCF" w:rsidP="00373DCF">
      <w:pPr>
        <w:ind w:firstLineChars="100" w:firstLine="210"/>
        <w:rPr>
          <w:szCs w:val="21"/>
        </w:rPr>
      </w:pPr>
      <w:r w:rsidRPr="004E4EB2">
        <w:rPr>
          <w:rFonts w:hint="eastAsia"/>
          <w:szCs w:val="21"/>
        </w:rPr>
        <w:t>条約の第</w:t>
      </w:r>
      <w:r w:rsidRPr="004E4EB2">
        <w:rPr>
          <w:rFonts w:hint="eastAsia"/>
          <w:szCs w:val="21"/>
        </w:rPr>
        <w:t>3</w:t>
      </w:r>
      <w:r w:rsidRPr="004E4EB2">
        <w:rPr>
          <w:rFonts w:hint="eastAsia"/>
          <w:szCs w:val="21"/>
        </w:rPr>
        <w:t>、</w:t>
      </w:r>
      <w:r w:rsidRPr="004E4EB2">
        <w:rPr>
          <w:rFonts w:hint="eastAsia"/>
          <w:szCs w:val="21"/>
        </w:rPr>
        <w:t>13</w:t>
      </w:r>
      <w:r w:rsidRPr="004E4EB2">
        <w:rPr>
          <w:rFonts w:hint="eastAsia"/>
          <w:szCs w:val="21"/>
        </w:rPr>
        <w:t>及び</w:t>
      </w:r>
      <w:r w:rsidRPr="004E4EB2">
        <w:rPr>
          <w:rFonts w:hint="eastAsia"/>
          <w:szCs w:val="21"/>
        </w:rPr>
        <w:t>17</w:t>
      </w:r>
      <w:r w:rsidRPr="004E4EB2">
        <w:rPr>
          <w:rFonts w:hint="eastAsia"/>
          <w:szCs w:val="21"/>
        </w:rPr>
        <w:t>条</w:t>
      </w:r>
      <w:r>
        <w:rPr>
          <w:rFonts w:hint="eastAsia"/>
          <w:szCs w:val="21"/>
        </w:rPr>
        <w:t>：</w:t>
      </w:r>
      <w:r w:rsidRPr="004E4EB2">
        <w:rPr>
          <w:rFonts w:hint="eastAsia"/>
          <w:szCs w:val="21"/>
        </w:rPr>
        <w:t>労働安全衛生（</w:t>
      </w:r>
      <w:r w:rsidRPr="004E4EB2">
        <w:rPr>
          <w:rFonts w:hint="eastAsia"/>
          <w:szCs w:val="21"/>
        </w:rPr>
        <w:t>OSH</w:t>
      </w:r>
      <w:r w:rsidRPr="004E4EB2">
        <w:rPr>
          <w:rFonts w:hint="eastAsia"/>
          <w:szCs w:val="21"/>
        </w:rPr>
        <w:t>）の分野における労働監督活動</w:t>
      </w:r>
      <w:r>
        <w:rPr>
          <w:rFonts w:hint="eastAsia"/>
          <w:szCs w:val="21"/>
        </w:rPr>
        <w:t>：</w:t>
      </w:r>
      <w:r w:rsidRPr="004E4EB2">
        <w:rPr>
          <w:rFonts w:hint="eastAsia"/>
          <w:szCs w:val="21"/>
        </w:rPr>
        <w:t>委員会は、サービス部門、陸上輸送部門、製造部門及び建設部門におけ</w:t>
      </w:r>
      <w:r>
        <w:rPr>
          <w:rFonts w:hint="eastAsia"/>
          <w:szCs w:val="21"/>
        </w:rPr>
        <w:t>る労働災害を防止するために労働監督によって実施される活動に関する情報を含む、</w:t>
      </w:r>
      <w:r w:rsidRPr="004E4EB2">
        <w:rPr>
          <w:rFonts w:hint="eastAsia"/>
          <w:szCs w:val="21"/>
        </w:rPr>
        <w:t>第</w:t>
      </w:r>
      <w:r w:rsidRPr="004E4EB2">
        <w:rPr>
          <w:rFonts w:hint="eastAsia"/>
          <w:szCs w:val="21"/>
        </w:rPr>
        <w:t>12</w:t>
      </w:r>
      <w:r w:rsidRPr="004E4EB2">
        <w:rPr>
          <w:rFonts w:hint="eastAsia"/>
          <w:szCs w:val="21"/>
        </w:rPr>
        <w:t>回労働災害防止計画に関して政府によって提供される情報に留意する。これは、</w:t>
      </w:r>
      <w:r w:rsidRPr="004E4EB2">
        <w:rPr>
          <w:rFonts w:hint="eastAsia"/>
          <w:szCs w:val="21"/>
        </w:rPr>
        <w:t>OSH</w:t>
      </w:r>
      <w:r w:rsidRPr="004E4EB2">
        <w:rPr>
          <w:rFonts w:hint="eastAsia"/>
          <w:szCs w:val="21"/>
        </w:rPr>
        <w:t>の問題に関する意識向上キャンペーン、具体的ガイドラインの頒布、具体的監視の準備、事故防止に重点を置いた教育及び指導を含んでいた。</w:t>
      </w:r>
      <w:r>
        <w:rPr>
          <w:rFonts w:hint="eastAsia"/>
          <w:szCs w:val="21"/>
        </w:rPr>
        <w:t>政府の示すところによると、</w:t>
      </w:r>
      <w:r w:rsidRPr="004E4EB2">
        <w:rPr>
          <w:rFonts w:hint="eastAsia"/>
          <w:szCs w:val="21"/>
        </w:rPr>
        <w:t>定期的な現場監督は</w:t>
      </w:r>
      <w:r>
        <w:rPr>
          <w:rFonts w:hint="eastAsia"/>
          <w:szCs w:val="21"/>
        </w:rPr>
        <w:t>、</w:t>
      </w:r>
      <w:r w:rsidRPr="004E4EB2">
        <w:rPr>
          <w:rFonts w:hint="eastAsia"/>
          <w:szCs w:val="21"/>
        </w:rPr>
        <w:t>労働災害が発生した会社では実施されて</w:t>
      </w:r>
      <w:r>
        <w:rPr>
          <w:rFonts w:hint="eastAsia"/>
          <w:szCs w:val="21"/>
        </w:rPr>
        <w:t>おり、また結果に基づき</w:t>
      </w:r>
      <w:r w:rsidRPr="004E4EB2">
        <w:rPr>
          <w:rFonts w:hint="eastAsia"/>
          <w:szCs w:val="21"/>
        </w:rPr>
        <w:t>、監督官</w:t>
      </w:r>
      <w:r>
        <w:rPr>
          <w:rFonts w:hint="eastAsia"/>
          <w:szCs w:val="21"/>
        </w:rPr>
        <w:t>はとるべき是正措置に関して指導をおこない、更に、類似の災害を防止し</w:t>
      </w:r>
      <w:r w:rsidRPr="004E4EB2">
        <w:rPr>
          <w:rFonts w:hint="eastAsia"/>
          <w:szCs w:val="21"/>
        </w:rPr>
        <w:t>当該会社での安全衛生レベルを改善するため</w:t>
      </w:r>
      <w:r>
        <w:rPr>
          <w:rFonts w:hint="eastAsia"/>
          <w:szCs w:val="21"/>
        </w:rPr>
        <w:t>の</w:t>
      </w:r>
      <w:r w:rsidRPr="004E4EB2">
        <w:rPr>
          <w:rFonts w:hint="eastAsia"/>
          <w:szCs w:val="21"/>
        </w:rPr>
        <w:t>防止措置計画の提出を要求している。</w:t>
      </w:r>
    </w:p>
    <w:p w:rsidR="00373DCF" w:rsidRPr="004E4EB2" w:rsidRDefault="00373DCF" w:rsidP="00373DCF">
      <w:pPr>
        <w:rPr>
          <w:szCs w:val="21"/>
        </w:rPr>
      </w:pPr>
    </w:p>
    <w:p w:rsidR="00373DCF" w:rsidRPr="004E4EB2" w:rsidRDefault="00373DCF" w:rsidP="00A368FD">
      <w:pPr>
        <w:ind w:firstLineChars="100" w:firstLine="210"/>
        <w:rPr>
          <w:szCs w:val="21"/>
        </w:rPr>
      </w:pPr>
      <w:r w:rsidRPr="004E4EB2">
        <w:rPr>
          <w:rFonts w:hint="eastAsia"/>
          <w:szCs w:val="21"/>
        </w:rPr>
        <w:t>第</w:t>
      </w:r>
      <w:r w:rsidRPr="004E4EB2">
        <w:rPr>
          <w:rFonts w:hint="eastAsia"/>
          <w:szCs w:val="21"/>
        </w:rPr>
        <w:t>12</w:t>
      </w:r>
      <w:r w:rsidRPr="004E4EB2">
        <w:rPr>
          <w:rFonts w:hint="eastAsia"/>
          <w:szCs w:val="21"/>
        </w:rPr>
        <w:t>回労働災害防止計画のための最大限の取り組みの実行は</w:t>
      </w:r>
      <w:r>
        <w:rPr>
          <w:rFonts w:hint="eastAsia"/>
          <w:szCs w:val="21"/>
        </w:rPr>
        <w:t>、直接的に労働者の生命及び健康の保護に結び付き、また</w:t>
      </w:r>
      <w:r w:rsidRPr="004E4EB2">
        <w:rPr>
          <w:rFonts w:hint="eastAsia"/>
          <w:szCs w:val="21"/>
        </w:rPr>
        <w:t>この重要な作業を実施するために適切な人数の労働監督官を確保する必要があること</w:t>
      </w:r>
      <w:r>
        <w:rPr>
          <w:rFonts w:hint="eastAsia"/>
          <w:szCs w:val="21"/>
        </w:rPr>
        <w:t>が</w:t>
      </w:r>
      <w:r w:rsidRPr="004E4EB2">
        <w:rPr>
          <w:rFonts w:hint="eastAsia"/>
          <w:szCs w:val="21"/>
        </w:rPr>
        <w:t>JTUC</w:t>
      </w:r>
      <w:r w:rsidRPr="004E4EB2">
        <w:rPr>
          <w:rFonts w:hint="eastAsia"/>
          <w:szCs w:val="21"/>
        </w:rPr>
        <w:t>－連合の声明に述べられていることに</w:t>
      </w:r>
      <w:r>
        <w:rPr>
          <w:rFonts w:hint="eastAsia"/>
          <w:szCs w:val="21"/>
        </w:rPr>
        <w:t>、</w:t>
      </w:r>
      <w:r w:rsidRPr="004E4EB2">
        <w:rPr>
          <w:rFonts w:hint="eastAsia"/>
          <w:szCs w:val="21"/>
        </w:rPr>
        <w:t>委員会は留意する。</w:t>
      </w:r>
      <w:r w:rsidRPr="004E4EB2">
        <w:rPr>
          <w:rFonts w:hint="eastAsia"/>
          <w:b/>
          <w:szCs w:val="21"/>
        </w:rPr>
        <w:t>上記で特定された</w:t>
      </w:r>
      <w:r w:rsidRPr="004E4EB2">
        <w:rPr>
          <w:rFonts w:hint="eastAsia"/>
          <w:b/>
          <w:szCs w:val="21"/>
        </w:rPr>
        <w:t>4</w:t>
      </w:r>
      <w:r w:rsidRPr="004E4EB2">
        <w:rPr>
          <w:rFonts w:hint="eastAsia"/>
          <w:b/>
          <w:szCs w:val="21"/>
        </w:rPr>
        <w:t>つの部門において傷害や死亡事故を引き起こす事故</w:t>
      </w:r>
      <w:r>
        <w:rPr>
          <w:rFonts w:hint="eastAsia"/>
          <w:b/>
          <w:szCs w:val="21"/>
        </w:rPr>
        <w:t>件数</w:t>
      </w:r>
      <w:r w:rsidRPr="004E4EB2">
        <w:rPr>
          <w:rFonts w:hint="eastAsia"/>
          <w:b/>
          <w:szCs w:val="21"/>
        </w:rPr>
        <w:t>に関して政府</w:t>
      </w:r>
      <w:r>
        <w:rPr>
          <w:rFonts w:hint="eastAsia"/>
          <w:b/>
          <w:szCs w:val="21"/>
        </w:rPr>
        <w:t>から提供</w:t>
      </w:r>
      <w:r w:rsidRPr="004E4EB2">
        <w:rPr>
          <w:rFonts w:hint="eastAsia"/>
          <w:b/>
          <w:szCs w:val="21"/>
        </w:rPr>
        <w:t>される情報に</w:t>
      </w:r>
      <w:r>
        <w:rPr>
          <w:rFonts w:hint="eastAsia"/>
          <w:b/>
          <w:szCs w:val="21"/>
        </w:rPr>
        <w:t>留意し</w:t>
      </w:r>
      <w:r w:rsidRPr="004E4EB2">
        <w:rPr>
          <w:rFonts w:hint="eastAsia"/>
          <w:b/>
          <w:szCs w:val="21"/>
        </w:rPr>
        <w:t>、委員会は、この作業を実施するため</w:t>
      </w:r>
      <w:r>
        <w:rPr>
          <w:rFonts w:hint="eastAsia"/>
          <w:b/>
          <w:szCs w:val="21"/>
        </w:rPr>
        <w:t>の</w:t>
      </w:r>
      <w:r w:rsidRPr="004E4EB2">
        <w:rPr>
          <w:rFonts w:hint="eastAsia"/>
          <w:b/>
          <w:szCs w:val="21"/>
        </w:rPr>
        <w:t>充分な人数の確保を含めて、当該部門を効果的に監督することを保証する取り組みを開始するように政府に要請する。</w:t>
      </w:r>
      <w:r>
        <w:rPr>
          <w:rFonts w:hint="eastAsia"/>
          <w:b/>
          <w:szCs w:val="21"/>
        </w:rPr>
        <w:t>また</w:t>
      </w:r>
      <w:r w:rsidRPr="004E4EB2">
        <w:rPr>
          <w:rFonts w:hint="eastAsia"/>
          <w:b/>
          <w:szCs w:val="21"/>
        </w:rPr>
        <w:t>政府が当該部門における監督視察に関する統計的データ及びこれらの監督の結果を提示するように政府に要請する。</w:t>
      </w:r>
      <w:r>
        <w:rPr>
          <w:rFonts w:hint="eastAsia"/>
          <w:b/>
          <w:szCs w:val="21"/>
        </w:rPr>
        <w:t>さらに</w:t>
      </w:r>
      <w:r w:rsidRPr="004E4EB2">
        <w:rPr>
          <w:rFonts w:hint="eastAsia"/>
          <w:b/>
          <w:szCs w:val="21"/>
        </w:rPr>
        <w:t>この点に関して、即時執行力</w:t>
      </w:r>
      <w:r>
        <w:rPr>
          <w:rFonts w:hint="eastAsia"/>
          <w:b/>
          <w:szCs w:val="21"/>
        </w:rPr>
        <w:t>を伴う</w:t>
      </w:r>
      <w:r w:rsidRPr="004E4EB2">
        <w:rPr>
          <w:rFonts w:hint="eastAsia"/>
          <w:b/>
          <w:szCs w:val="21"/>
        </w:rPr>
        <w:t>措置及び発見される違反に課される制裁を含めて、労働者の健康又は安全に対</w:t>
      </w:r>
      <w:r>
        <w:rPr>
          <w:rFonts w:hint="eastAsia"/>
          <w:b/>
          <w:szCs w:val="21"/>
        </w:rPr>
        <w:t>する</w:t>
      </w:r>
      <w:r w:rsidRPr="004E4EB2">
        <w:rPr>
          <w:rFonts w:hint="eastAsia"/>
          <w:b/>
          <w:szCs w:val="21"/>
        </w:rPr>
        <w:t>脅威となる</w:t>
      </w:r>
      <w:r>
        <w:rPr>
          <w:rFonts w:hint="eastAsia"/>
          <w:b/>
          <w:szCs w:val="21"/>
        </w:rPr>
        <w:t>であろうと思われる</w:t>
      </w:r>
      <w:r w:rsidRPr="004E4EB2">
        <w:rPr>
          <w:rFonts w:hint="eastAsia"/>
          <w:b/>
          <w:szCs w:val="21"/>
        </w:rPr>
        <w:t>欠陥を是正する観点で実施される予防措置に関する情報を</w:t>
      </w:r>
      <w:r>
        <w:rPr>
          <w:rFonts w:hint="eastAsia"/>
          <w:b/>
          <w:szCs w:val="21"/>
        </w:rPr>
        <w:t>提供</w:t>
      </w:r>
      <w:r w:rsidRPr="004E4EB2">
        <w:rPr>
          <w:rFonts w:hint="eastAsia"/>
          <w:b/>
          <w:szCs w:val="21"/>
        </w:rPr>
        <w:t>するよう</w:t>
      </w:r>
      <w:r>
        <w:rPr>
          <w:rFonts w:hint="eastAsia"/>
          <w:b/>
          <w:szCs w:val="21"/>
        </w:rPr>
        <w:t>、</w:t>
      </w:r>
      <w:r w:rsidRPr="004E4EB2">
        <w:rPr>
          <w:rFonts w:hint="eastAsia"/>
          <w:b/>
          <w:szCs w:val="21"/>
        </w:rPr>
        <w:t>政府に要請する。</w:t>
      </w:r>
    </w:p>
    <w:p w:rsidR="00A368FD" w:rsidRDefault="00A368FD" w:rsidP="00A368FD">
      <w:pPr>
        <w:ind w:firstLineChars="100" w:firstLine="211"/>
        <w:rPr>
          <w:rFonts w:hint="eastAsia"/>
          <w:b/>
          <w:szCs w:val="21"/>
        </w:rPr>
      </w:pPr>
    </w:p>
    <w:p w:rsidR="00A368FD" w:rsidRDefault="00A368FD" w:rsidP="00A368FD">
      <w:pPr>
        <w:ind w:firstLineChars="100" w:firstLine="211"/>
        <w:rPr>
          <w:rFonts w:hint="eastAsia"/>
          <w:b/>
          <w:szCs w:val="21"/>
        </w:rPr>
      </w:pPr>
    </w:p>
    <w:p w:rsidR="00373DCF" w:rsidRPr="004E4EB2" w:rsidRDefault="00373DCF" w:rsidP="00A368FD">
      <w:pPr>
        <w:ind w:firstLineChars="100" w:firstLine="211"/>
        <w:rPr>
          <w:szCs w:val="21"/>
        </w:rPr>
      </w:pPr>
      <w:r w:rsidRPr="004E4EB2">
        <w:rPr>
          <w:rFonts w:hint="eastAsia"/>
          <w:b/>
          <w:szCs w:val="21"/>
        </w:rPr>
        <w:t>労働監督の機能を効果的に実施するために、これらの支所が適切に設置されていることを保証するように講じられる措置に関する情報を</w:t>
      </w:r>
      <w:r>
        <w:rPr>
          <w:rFonts w:hint="eastAsia"/>
          <w:b/>
          <w:szCs w:val="21"/>
        </w:rPr>
        <w:t>提供</w:t>
      </w:r>
      <w:r w:rsidRPr="004E4EB2">
        <w:rPr>
          <w:rFonts w:hint="eastAsia"/>
          <w:b/>
          <w:szCs w:val="21"/>
        </w:rPr>
        <w:t>することを、委員会は政府</w:t>
      </w:r>
      <w:r>
        <w:rPr>
          <w:rFonts w:hint="eastAsia"/>
          <w:b/>
          <w:szCs w:val="21"/>
        </w:rPr>
        <w:t>に対して</w:t>
      </w:r>
      <w:r w:rsidRPr="004E4EB2">
        <w:rPr>
          <w:rFonts w:hint="eastAsia"/>
          <w:b/>
          <w:szCs w:val="21"/>
        </w:rPr>
        <w:t>要請する。また、国内での労働基準監督</w:t>
      </w:r>
      <w:r>
        <w:rPr>
          <w:rFonts w:hint="eastAsia"/>
          <w:b/>
          <w:szCs w:val="21"/>
        </w:rPr>
        <w:t>署</w:t>
      </w:r>
      <w:r w:rsidRPr="004E4EB2">
        <w:rPr>
          <w:rFonts w:hint="eastAsia"/>
          <w:b/>
          <w:szCs w:val="21"/>
        </w:rPr>
        <w:t>の編成に関する社会的パートナーとの諮問に関する更なる詳細情報及びその結果を提示するように</w:t>
      </w:r>
      <w:r>
        <w:rPr>
          <w:rFonts w:hint="eastAsia"/>
          <w:b/>
          <w:szCs w:val="21"/>
        </w:rPr>
        <w:t>、</w:t>
      </w:r>
      <w:r w:rsidRPr="004E4EB2">
        <w:rPr>
          <w:rFonts w:hint="eastAsia"/>
          <w:b/>
          <w:szCs w:val="21"/>
        </w:rPr>
        <w:t>政府</w:t>
      </w:r>
      <w:r>
        <w:rPr>
          <w:rFonts w:hint="eastAsia"/>
          <w:b/>
          <w:szCs w:val="21"/>
        </w:rPr>
        <w:t>に</w:t>
      </w:r>
      <w:r w:rsidRPr="004E4EB2">
        <w:rPr>
          <w:rFonts w:hint="eastAsia"/>
          <w:b/>
          <w:szCs w:val="21"/>
        </w:rPr>
        <w:t>要請する。</w:t>
      </w:r>
    </w:p>
    <w:p w:rsidR="00373DCF" w:rsidRPr="004E4EB2" w:rsidRDefault="00373DCF" w:rsidP="00373DCF">
      <w:pPr>
        <w:rPr>
          <w:szCs w:val="21"/>
        </w:rPr>
      </w:pPr>
    </w:p>
    <w:p w:rsidR="00A368FD" w:rsidRDefault="00A368FD" w:rsidP="00A368FD">
      <w:pPr>
        <w:ind w:firstLineChars="100" w:firstLine="211"/>
        <w:rPr>
          <w:rFonts w:hint="eastAsia"/>
          <w:b/>
          <w:szCs w:val="21"/>
        </w:rPr>
      </w:pPr>
    </w:p>
    <w:p w:rsidR="00373DCF" w:rsidRPr="004E4EB2" w:rsidRDefault="00373DCF" w:rsidP="00A368FD">
      <w:pPr>
        <w:ind w:firstLineChars="100" w:firstLine="211"/>
        <w:rPr>
          <w:b/>
          <w:szCs w:val="21"/>
        </w:rPr>
      </w:pPr>
      <w:r w:rsidRPr="004E4EB2">
        <w:rPr>
          <w:rFonts w:hint="eastAsia"/>
          <w:b/>
          <w:szCs w:val="21"/>
        </w:rPr>
        <w:t>委員会は</w:t>
      </w:r>
      <w:r>
        <w:rPr>
          <w:rFonts w:hint="eastAsia"/>
          <w:b/>
          <w:szCs w:val="21"/>
        </w:rPr>
        <w:t>、</w:t>
      </w:r>
      <w:r w:rsidRPr="004E4EB2">
        <w:rPr>
          <w:rFonts w:hint="eastAsia"/>
          <w:b/>
          <w:szCs w:val="21"/>
        </w:rPr>
        <w:t>2011</w:t>
      </w:r>
      <w:r w:rsidRPr="004E4EB2">
        <w:rPr>
          <w:rFonts w:hint="eastAsia"/>
          <w:b/>
          <w:szCs w:val="21"/>
        </w:rPr>
        <w:t>年以来、政府</w:t>
      </w:r>
      <w:r>
        <w:rPr>
          <w:rFonts w:hint="eastAsia"/>
          <w:b/>
          <w:szCs w:val="21"/>
        </w:rPr>
        <w:t>が</w:t>
      </w:r>
      <w:r w:rsidRPr="004E4EB2">
        <w:rPr>
          <w:rFonts w:hint="eastAsia"/>
          <w:b/>
          <w:szCs w:val="21"/>
        </w:rPr>
        <w:t>年次労働基準監督報告を提出していないことに</w:t>
      </w:r>
      <w:r>
        <w:rPr>
          <w:rFonts w:hint="eastAsia"/>
          <w:b/>
          <w:szCs w:val="21"/>
        </w:rPr>
        <w:t>注目</w:t>
      </w:r>
      <w:r w:rsidRPr="004E4EB2">
        <w:rPr>
          <w:rFonts w:hint="eastAsia"/>
          <w:b/>
          <w:szCs w:val="21"/>
        </w:rPr>
        <w:t>して、条約の第</w:t>
      </w:r>
      <w:r w:rsidRPr="004E4EB2">
        <w:rPr>
          <w:rFonts w:hint="eastAsia"/>
          <w:b/>
          <w:szCs w:val="21"/>
        </w:rPr>
        <w:t>20(3)</w:t>
      </w:r>
      <w:r>
        <w:rPr>
          <w:rFonts w:hint="eastAsia"/>
          <w:b/>
          <w:szCs w:val="21"/>
        </w:rPr>
        <w:t>条に従って</w:t>
      </w:r>
      <w:r w:rsidRPr="004E4EB2">
        <w:rPr>
          <w:rFonts w:hint="eastAsia"/>
          <w:b/>
          <w:szCs w:val="21"/>
        </w:rPr>
        <w:t>これらの報告を定期的に</w:t>
      </w:r>
      <w:r>
        <w:rPr>
          <w:rFonts w:hint="eastAsia"/>
          <w:b/>
          <w:szCs w:val="21"/>
        </w:rPr>
        <w:t>発表し、また</w:t>
      </w:r>
      <w:r w:rsidRPr="004E4EB2">
        <w:rPr>
          <w:rFonts w:hint="eastAsia"/>
          <w:b/>
          <w:szCs w:val="21"/>
        </w:rPr>
        <w:t>当該報告が第</w:t>
      </w:r>
      <w:r w:rsidRPr="004E4EB2">
        <w:rPr>
          <w:rFonts w:hint="eastAsia"/>
          <w:b/>
          <w:szCs w:val="21"/>
        </w:rPr>
        <w:t>21(a)</w:t>
      </w:r>
      <w:r w:rsidRPr="004E4EB2">
        <w:rPr>
          <w:rFonts w:hint="eastAsia"/>
          <w:b/>
          <w:szCs w:val="21"/>
        </w:rPr>
        <w:t>～</w:t>
      </w:r>
      <w:r w:rsidRPr="004E4EB2">
        <w:rPr>
          <w:rFonts w:hint="eastAsia"/>
          <w:b/>
          <w:szCs w:val="21"/>
        </w:rPr>
        <w:t>(g)</w:t>
      </w:r>
      <w:r w:rsidRPr="004E4EB2">
        <w:rPr>
          <w:rFonts w:hint="eastAsia"/>
          <w:b/>
          <w:szCs w:val="21"/>
        </w:rPr>
        <w:t>条に概説される全ての情報を含むことを保証する</w:t>
      </w:r>
      <w:r>
        <w:rPr>
          <w:rFonts w:hint="eastAsia"/>
          <w:b/>
          <w:szCs w:val="21"/>
        </w:rPr>
        <w:t>よう</w:t>
      </w:r>
      <w:r w:rsidRPr="004E4EB2">
        <w:rPr>
          <w:rFonts w:hint="eastAsia"/>
          <w:b/>
          <w:szCs w:val="21"/>
        </w:rPr>
        <w:t>、政府</w:t>
      </w:r>
      <w:r>
        <w:rPr>
          <w:rFonts w:hint="eastAsia"/>
          <w:b/>
          <w:szCs w:val="21"/>
        </w:rPr>
        <w:t>に</w:t>
      </w:r>
      <w:r w:rsidRPr="004E4EB2">
        <w:rPr>
          <w:rFonts w:hint="eastAsia"/>
          <w:b/>
          <w:szCs w:val="21"/>
        </w:rPr>
        <w:t>要請する。</w:t>
      </w:r>
    </w:p>
    <w:p w:rsidR="00373DCF" w:rsidRPr="004E4EB2" w:rsidRDefault="00373DCF" w:rsidP="00373DCF">
      <w:pPr>
        <w:rPr>
          <w:szCs w:val="21"/>
        </w:rPr>
      </w:pPr>
    </w:p>
    <w:p w:rsidR="00373DCF" w:rsidRDefault="00373DCF">
      <w:pPr>
        <w:widowControl/>
        <w:jc w:val="left"/>
        <w:rPr>
          <w:b/>
          <w:szCs w:val="21"/>
        </w:rPr>
      </w:pPr>
      <w:r>
        <w:rPr>
          <w:b/>
          <w:szCs w:val="21"/>
        </w:rPr>
        <w:br w:type="page"/>
      </w:r>
    </w:p>
    <w:p w:rsidR="00373DCF" w:rsidRDefault="00EF47FA" w:rsidP="00EF47FA">
      <w:pPr>
        <w:jc w:val="center"/>
      </w:pPr>
      <w:r>
        <w:rPr>
          <w:rFonts w:hint="eastAsia"/>
        </w:rPr>
        <w:t>2015</w:t>
      </w:r>
      <w:r w:rsidR="00373DCF">
        <w:rPr>
          <w:rFonts w:hint="eastAsia"/>
        </w:rPr>
        <w:t>年条約勧告適用専門家委員会</w:t>
      </w:r>
      <w:r>
        <w:rPr>
          <w:rFonts w:hint="eastAsia"/>
        </w:rPr>
        <w:t xml:space="preserve">　ＩＬＯ第</w:t>
      </w:r>
      <w:r>
        <w:rPr>
          <w:rFonts w:hint="eastAsia"/>
        </w:rPr>
        <w:t>115</w:t>
      </w:r>
      <w:r w:rsidR="00373DCF">
        <w:rPr>
          <w:rFonts w:hint="eastAsia"/>
        </w:rPr>
        <w:t>号条約ダイレクトリクエスト（抄）</w:t>
      </w:r>
    </w:p>
    <w:p w:rsidR="00373DCF" w:rsidRDefault="00373DCF" w:rsidP="00373DCF">
      <w:pPr>
        <w:jc w:val="right"/>
      </w:pPr>
      <w:r>
        <w:rPr>
          <w:rFonts w:hint="eastAsia"/>
        </w:rPr>
        <w:t>（厚生労働省国際課仮訳）</w:t>
      </w:r>
    </w:p>
    <w:p w:rsidR="00373DCF" w:rsidRDefault="00373DCF" w:rsidP="00EF47FA">
      <w:pPr>
        <w:jc w:val="center"/>
      </w:pPr>
      <w:r>
        <w:rPr>
          <w:rFonts w:hint="eastAsia"/>
          <w:szCs w:val="21"/>
        </w:rPr>
        <w:t>電離放射線からの労働者の保護に関する条約</w:t>
      </w:r>
      <w:r w:rsidR="00EF47FA">
        <w:rPr>
          <w:rFonts w:hint="eastAsia"/>
          <w:szCs w:val="21"/>
        </w:rPr>
        <w:t xml:space="preserve">  </w:t>
      </w:r>
      <w:r w:rsidR="00EF47FA">
        <w:rPr>
          <w:rFonts w:hint="eastAsia"/>
        </w:rPr>
        <w:t>1960</w:t>
      </w:r>
      <w:r w:rsidR="00EF47FA">
        <w:rPr>
          <w:rFonts w:hint="eastAsia"/>
        </w:rPr>
        <w:t>年（第</w:t>
      </w:r>
      <w:r w:rsidR="00EF47FA">
        <w:rPr>
          <w:rFonts w:hint="eastAsia"/>
        </w:rPr>
        <w:t>115</w:t>
      </w:r>
      <w:r>
        <w:rPr>
          <w:rFonts w:hint="eastAsia"/>
        </w:rPr>
        <w:t>号）</w:t>
      </w:r>
    </w:p>
    <w:p w:rsidR="00EF47FA" w:rsidRPr="00EF47FA" w:rsidRDefault="00EF47FA" w:rsidP="00EF47FA">
      <w:pPr>
        <w:jc w:val="center"/>
        <w:rPr>
          <w:szCs w:val="21"/>
        </w:rPr>
      </w:pPr>
      <w:r>
        <w:rPr>
          <w:rFonts w:hint="eastAsia"/>
        </w:rPr>
        <w:t>（日本批准：</w:t>
      </w:r>
      <w:r>
        <w:rPr>
          <w:rFonts w:hint="eastAsia"/>
        </w:rPr>
        <w:t>1973</w:t>
      </w:r>
      <w:r>
        <w:rPr>
          <w:rFonts w:hint="eastAsia"/>
        </w:rPr>
        <w:t>年）</w:t>
      </w:r>
    </w:p>
    <w:p w:rsidR="00373DCF" w:rsidRPr="001C4679" w:rsidRDefault="00373DCF" w:rsidP="00373DCF">
      <w:pPr>
        <w:rPr>
          <w:szCs w:val="21"/>
        </w:rPr>
      </w:pPr>
    </w:p>
    <w:p w:rsidR="00373DCF" w:rsidRPr="00F16F5E" w:rsidRDefault="00373DCF" w:rsidP="00373DCF">
      <w:pPr>
        <w:rPr>
          <w:b/>
          <w:szCs w:val="21"/>
        </w:rPr>
      </w:pPr>
      <w:r w:rsidRPr="00F16F5E">
        <w:rPr>
          <w:rFonts w:hint="eastAsia"/>
          <w:b/>
          <w:szCs w:val="21"/>
        </w:rPr>
        <w:t>条約に規定される保護を除染作業に従事する作業者へ適用することを保証し、この点に関して講じられる措置に関する情報を引き続き提示するように、委員会は政府に要請する。</w:t>
      </w:r>
    </w:p>
    <w:p w:rsidR="00373DCF" w:rsidRPr="00F16F5E" w:rsidRDefault="00373DCF" w:rsidP="00373DCF">
      <w:pPr>
        <w:rPr>
          <w:b/>
          <w:szCs w:val="21"/>
        </w:rPr>
      </w:pPr>
    </w:p>
    <w:p w:rsidR="00A368FD" w:rsidRDefault="00A368FD" w:rsidP="00373DCF">
      <w:pPr>
        <w:rPr>
          <w:rFonts w:hint="eastAsia"/>
          <w:b/>
          <w:szCs w:val="21"/>
        </w:rPr>
      </w:pPr>
    </w:p>
    <w:p w:rsidR="00373DCF" w:rsidRPr="00F16F5E" w:rsidRDefault="00373DCF" w:rsidP="00373DCF">
      <w:pPr>
        <w:rPr>
          <w:b/>
          <w:szCs w:val="21"/>
        </w:rPr>
      </w:pPr>
      <w:r w:rsidRPr="00F16F5E">
        <w:rPr>
          <w:rFonts w:hint="eastAsia"/>
          <w:b/>
          <w:szCs w:val="21"/>
        </w:rPr>
        <w:t>18</w:t>
      </w:r>
      <w:r w:rsidRPr="00F16F5E">
        <w:rPr>
          <w:rFonts w:hint="eastAsia"/>
          <w:b/>
          <w:szCs w:val="21"/>
        </w:rPr>
        <w:t>歳未満の作業者の職業的被爆に関する国家的法規定の執行を保証するために講じている措置に関する情報を提示するように、委員会は政府へ要請する。</w:t>
      </w:r>
    </w:p>
    <w:p w:rsidR="00373DCF" w:rsidRPr="00F16F5E" w:rsidRDefault="00373DCF" w:rsidP="00373DCF">
      <w:pPr>
        <w:rPr>
          <w:szCs w:val="21"/>
        </w:rPr>
      </w:pPr>
    </w:p>
    <w:p w:rsidR="00A368FD" w:rsidRDefault="00A368FD" w:rsidP="00373DCF">
      <w:pPr>
        <w:rPr>
          <w:rFonts w:hint="eastAsia"/>
          <w:b/>
          <w:szCs w:val="21"/>
        </w:rPr>
      </w:pPr>
    </w:p>
    <w:p w:rsidR="00373DCF" w:rsidRPr="00F16F5E" w:rsidRDefault="00373DCF" w:rsidP="00373DCF">
      <w:pPr>
        <w:rPr>
          <w:b/>
          <w:szCs w:val="21"/>
        </w:rPr>
      </w:pPr>
      <w:bookmarkStart w:id="0" w:name="_GoBack"/>
      <w:bookmarkEnd w:id="0"/>
      <w:r w:rsidRPr="00F16F5E">
        <w:rPr>
          <w:rFonts w:hint="eastAsia"/>
          <w:b/>
          <w:szCs w:val="21"/>
        </w:rPr>
        <w:t>放射線作業に直接的に従事する作業者は、当該作業の前に健康診断を実施し、その後、適切な間隔で、更に健康診断を実施することを保証するために講じられる措置に関する情報を提示するように、委員会は政府へ要請する。また、作業者の作業状態を維持するために、作業者が線量測定情報又は他の処理を抑制しなければならないと作業者が考えることがある状況を避けるように講じられる何らかの措置に関する情報を提示するように、委員会は政府へ要請する。</w:t>
      </w:r>
    </w:p>
    <w:p w:rsidR="00373DCF" w:rsidRPr="00373DCF" w:rsidRDefault="00373DCF" w:rsidP="00373DCF">
      <w:pPr>
        <w:rPr>
          <w:b/>
          <w:szCs w:val="21"/>
        </w:rPr>
      </w:pPr>
    </w:p>
    <w:sectPr w:rsidR="00373DCF" w:rsidRPr="00373DC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32" w:rsidRDefault="00D24932" w:rsidP="00AA1CC4">
      <w:r>
        <w:separator/>
      </w:r>
    </w:p>
  </w:endnote>
  <w:endnote w:type="continuationSeparator" w:id="0">
    <w:p w:rsidR="00D24932" w:rsidRDefault="00D24932" w:rsidP="00AA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661530"/>
      <w:docPartObj>
        <w:docPartGallery w:val="Page Numbers (Bottom of Page)"/>
        <w:docPartUnique/>
      </w:docPartObj>
    </w:sdtPr>
    <w:sdtEndPr/>
    <w:sdtContent>
      <w:p w:rsidR="00802FCC" w:rsidRDefault="00802FCC">
        <w:pPr>
          <w:pStyle w:val="a5"/>
          <w:jc w:val="center"/>
        </w:pPr>
        <w:r>
          <w:fldChar w:fldCharType="begin"/>
        </w:r>
        <w:r>
          <w:instrText>PAGE   \* MERGEFORMAT</w:instrText>
        </w:r>
        <w:r>
          <w:fldChar w:fldCharType="separate"/>
        </w:r>
        <w:r w:rsidR="00A368FD" w:rsidRPr="00A368FD">
          <w:rPr>
            <w:noProof/>
            <w:lang w:val="ja-JP"/>
          </w:rPr>
          <w:t>1</w:t>
        </w:r>
        <w:r>
          <w:fldChar w:fldCharType="end"/>
        </w:r>
      </w:p>
    </w:sdtContent>
  </w:sdt>
  <w:p w:rsidR="00802FCC" w:rsidRDefault="00802F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32" w:rsidRDefault="00D24932" w:rsidP="00AA1CC4">
      <w:r>
        <w:separator/>
      </w:r>
    </w:p>
  </w:footnote>
  <w:footnote w:type="continuationSeparator" w:id="0">
    <w:p w:rsidR="00D24932" w:rsidRDefault="00D24932" w:rsidP="00AA1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5F"/>
    <w:rsid w:val="00114923"/>
    <w:rsid w:val="00142B9A"/>
    <w:rsid w:val="00241FD7"/>
    <w:rsid w:val="003214D6"/>
    <w:rsid w:val="00334E82"/>
    <w:rsid w:val="00373DCF"/>
    <w:rsid w:val="003F0670"/>
    <w:rsid w:val="003F2E9A"/>
    <w:rsid w:val="0040465F"/>
    <w:rsid w:val="0043745F"/>
    <w:rsid w:val="0048082C"/>
    <w:rsid w:val="005463A8"/>
    <w:rsid w:val="00603D00"/>
    <w:rsid w:val="00666E00"/>
    <w:rsid w:val="00670A96"/>
    <w:rsid w:val="006A2D37"/>
    <w:rsid w:val="007207D7"/>
    <w:rsid w:val="00761E0E"/>
    <w:rsid w:val="007A470C"/>
    <w:rsid w:val="007E3D43"/>
    <w:rsid w:val="00802FCC"/>
    <w:rsid w:val="00863F83"/>
    <w:rsid w:val="008A3338"/>
    <w:rsid w:val="009A7212"/>
    <w:rsid w:val="00A368FD"/>
    <w:rsid w:val="00A70F44"/>
    <w:rsid w:val="00A81FB5"/>
    <w:rsid w:val="00AA1CC4"/>
    <w:rsid w:val="00B54427"/>
    <w:rsid w:val="00B93004"/>
    <w:rsid w:val="00BA243B"/>
    <w:rsid w:val="00C252DC"/>
    <w:rsid w:val="00C45441"/>
    <w:rsid w:val="00C74B24"/>
    <w:rsid w:val="00CE6FBC"/>
    <w:rsid w:val="00D24932"/>
    <w:rsid w:val="00D31E82"/>
    <w:rsid w:val="00E140BC"/>
    <w:rsid w:val="00E77595"/>
    <w:rsid w:val="00EF47FA"/>
    <w:rsid w:val="00F66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6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C4"/>
    <w:pPr>
      <w:tabs>
        <w:tab w:val="center" w:pos="4252"/>
        <w:tab w:val="right" w:pos="8504"/>
      </w:tabs>
      <w:snapToGrid w:val="0"/>
    </w:pPr>
  </w:style>
  <w:style w:type="character" w:customStyle="1" w:styleId="a4">
    <w:name w:val="ヘッダー (文字)"/>
    <w:basedOn w:val="a0"/>
    <w:link w:val="a3"/>
    <w:uiPriority w:val="99"/>
    <w:rsid w:val="00AA1CC4"/>
  </w:style>
  <w:style w:type="paragraph" w:styleId="a5">
    <w:name w:val="footer"/>
    <w:basedOn w:val="a"/>
    <w:link w:val="a6"/>
    <w:uiPriority w:val="99"/>
    <w:unhideWhenUsed/>
    <w:rsid w:val="00AA1CC4"/>
    <w:pPr>
      <w:tabs>
        <w:tab w:val="center" w:pos="4252"/>
        <w:tab w:val="right" w:pos="8504"/>
      </w:tabs>
      <w:snapToGrid w:val="0"/>
    </w:pPr>
  </w:style>
  <w:style w:type="character" w:customStyle="1" w:styleId="a6">
    <w:name w:val="フッター (文字)"/>
    <w:basedOn w:val="a0"/>
    <w:link w:val="a5"/>
    <w:uiPriority w:val="99"/>
    <w:rsid w:val="00AA1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6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C4"/>
    <w:pPr>
      <w:tabs>
        <w:tab w:val="center" w:pos="4252"/>
        <w:tab w:val="right" w:pos="8504"/>
      </w:tabs>
      <w:snapToGrid w:val="0"/>
    </w:pPr>
  </w:style>
  <w:style w:type="character" w:customStyle="1" w:styleId="a4">
    <w:name w:val="ヘッダー (文字)"/>
    <w:basedOn w:val="a0"/>
    <w:link w:val="a3"/>
    <w:uiPriority w:val="99"/>
    <w:rsid w:val="00AA1CC4"/>
  </w:style>
  <w:style w:type="paragraph" w:styleId="a5">
    <w:name w:val="footer"/>
    <w:basedOn w:val="a"/>
    <w:link w:val="a6"/>
    <w:uiPriority w:val="99"/>
    <w:unhideWhenUsed/>
    <w:rsid w:val="00AA1CC4"/>
    <w:pPr>
      <w:tabs>
        <w:tab w:val="center" w:pos="4252"/>
        <w:tab w:val="right" w:pos="8504"/>
      </w:tabs>
      <w:snapToGrid w:val="0"/>
    </w:pPr>
  </w:style>
  <w:style w:type="character" w:customStyle="1" w:styleId="a6">
    <w:name w:val="フッター (文字)"/>
    <w:basedOn w:val="a0"/>
    <w:link w:val="a5"/>
    <w:uiPriority w:val="99"/>
    <w:rsid w:val="00AA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yokoi</dc:creator>
  <cp:lastModifiedBy>厚生労働省ネットワークシステム</cp:lastModifiedBy>
  <cp:revision>9</cp:revision>
  <dcterms:created xsi:type="dcterms:W3CDTF">2017-08-01T02:27:00Z</dcterms:created>
  <dcterms:modified xsi:type="dcterms:W3CDTF">2018-02-09T10:59:00Z</dcterms:modified>
</cp:coreProperties>
</file>