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2126A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4FA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FD889AE">
              <wp:simplePos x="0" y="0"/>
              <wp:positionH relativeFrom="margin">
                <wp:posOffset>5800725</wp:posOffset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456.75pt;margin-top:12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nu8yHd8AAAAKAQAADwAAAAAA&#10;AAAAAAAAAADKBAAAZHJzL2Rvd25yZXYueG1sUEsFBgAAAAAEAAQA8wAAANYFAAAAAA=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341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1C1A02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24A13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0E9B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11DBB-08D7-43AD-ACAB-B64F56D68C50}"/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2024-11-24T01:38:00Z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