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376F1FE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BAC7EE-B281-417C-88C7-2B859096DD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