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779C6C10"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EA24EB">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70258D" w:rsidRPr="002036B9" w14:paraId="2BA25B75" w14:textId="77777777" w:rsidTr="00F94DFF">
              <w:trPr>
                <w:trHeight w:val="467"/>
              </w:trPr>
              <w:tc>
                <w:tcPr>
                  <w:tcW w:w="1553" w:type="dxa"/>
                  <w:vAlign w:val="center"/>
                </w:tcPr>
                <w:p w14:paraId="7401795A" w14:textId="77777777" w:rsidR="0070258D" w:rsidRPr="00687417" w:rsidRDefault="0070258D" w:rsidP="0070258D">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70258D" w:rsidRPr="00687417" w:rsidRDefault="0070258D" w:rsidP="0070258D">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236C2CAC" w14:textId="77777777" w:rsidR="0070258D" w:rsidRDefault="0070258D" w:rsidP="0070258D">
                  <w:pPr>
                    <w:spacing w:line="220" w:lineRule="exact"/>
                    <w:jc w:val="lef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鉄道車両整備職種</w:t>
                  </w:r>
                </w:p>
                <w:p w14:paraId="0AC6783E" w14:textId="07FA95E2" w:rsidR="0070258D" w:rsidRPr="00687417" w:rsidRDefault="0070258D" w:rsidP="0070258D">
                  <w:pPr>
                    <w:spacing w:line="220" w:lineRule="exact"/>
                    <w:jc w:val="left"/>
                    <w:rPr>
                      <w:rFonts w:asciiTheme="majorEastAsia" w:eastAsiaTheme="majorEastAsia" w:hAnsiTheme="majorEastAsia" w:cs="メイリオ"/>
                      <w:sz w:val="16"/>
                      <w:szCs w:val="16"/>
                      <w:highlight w:val="yellow"/>
                    </w:rPr>
                  </w:pPr>
                  <w:r w:rsidRPr="005025D0">
                    <w:rPr>
                      <w:rFonts w:asciiTheme="majorHAnsi" w:eastAsiaTheme="majorEastAsia" w:hAnsiTheme="majorHAnsi" w:cstheme="majorHAnsi"/>
                      <w:sz w:val="16"/>
                      <w:szCs w:val="16"/>
                    </w:rPr>
                    <w:t xml:space="preserve">Perawatan </w:t>
                  </w:r>
                  <w:r>
                    <w:rPr>
                      <w:rFonts w:asciiTheme="majorHAnsi" w:eastAsiaTheme="majorEastAsia" w:hAnsiTheme="majorHAnsi" w:cstheme="majorHAnsi"/>
                      <w:sz w:val="16"/>
                      <w:szCs w:val="16"/>
                    </w:rPr>
                    <w:t>Gerbong</w:t>
                  </w:r>
                  <w:r w:rsidRPr="005025D0">
                    <w:rPr>
                      <w:rFonts w:asciiTheme="majorHAnsi" w:eastAsiaTheme="majorEastAsia" w:hAnsiTheme="majorHAnsi" w:cstheme="majorHAnsi"/>
                      <w:sz w:val="16"/>
                      <w:szCs w:val="16"/>
                    </w:rPr>
                    <w:t xml:space="preserve"> kereta api</w:t>
                  </w:r>
                </w:p>
              </w:tc>
              <w:tc>
                <w:tcPr>
                  <w:tcW w:w="1348" w:type="dxa"/>
                </w:tcPr>
                <w:p w14:paraId="5447FE72" w14:textId="77777777" w:rsidR="0070258D" w:rsidRPr="002036B9" w:rsidRDefault="0070258D" w:rsidP="0070258D">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68F92FC8" w:rsidR="0070258D" w:rsidRPr="00687417" w:rsidRDefault="0070258D" w:rsidP="0070258D">
                  <w:pPr>
                    <w:widowControl/>
                    <w:spacing w:line="220" w:lineRule="exact"/>
                    <w:jc w:val="left"/>
                    <w:rPr>
                      <w:rFonts w:asciiTheme="majorEastAsia" w:eastAsiaTheme="majorEastAsia" w:hAnsiTheme="majorEastAsia" w:cs="メイリオ"/>
                      <w:sz w:val="16"/>
                      <w:szCs w:val="16"/>
                    </w:rPr>
                  </w:pPr>
                  <w:r w:rsidRPr="008354B5">
                    <w:rPr>
                      <w:rStyle w:val="hps"/>
                      <w:rFonts w:ascii="Arial" w:hAnsi="Arial" w:cs="Arial"/>
                      <w:color w:val="222222"/>
                      <w:sz w:val="16"/>
                      <w:szCs w:val="16"/>
                      <w:lang w:val="en"/>
                    </w:rPr>
                    <w:t>Pekerjaan</w:t>
                  </w:r>
                </w:p>
              </w:tc>
              <w:tc>
                <w:tcPr>
                  <w:tcW w:w="3544" w:type="dxa"/>
                </w:tcPr>
                <w:p w14:paraId="4C3B27E4" w14:textId="77777777" w:rsidR="0070258D" w:rsidRDefault="0070258D" w:rsidP="0070258D">
                  <w:pPr>
                    <w:spacing w:line="220" w:lineRule="exac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空気装置検修・解ぎ装</w:t>
                  </w:r>
                  <w:r w:rsidRPr="007F5F0C">
                    <w:rPr>
                      <w:rFonts w:asciiTheme="majorHAnsi" w:eastAsiaTheme="majorEastAsia" w:hAnsiTheme="majorHAnsi" w:cstheme="majorHAnsi" w:hint="eastAsia"/>
                      <w:sz w:val="16"/>
                      <w:szCs w:val="16"/>
                    </w:rPr>
                    <w:t>作業</w:t>
                  </w:r>
                </w:p>
                <w:p w14:paraId="1A2F8231" w14:textId="14762F12" w:rsidR="0070258D" w:rsidRPr="00687417" w:rsidRDefault="0070258D" w:rsidP="0070258D">
                  <w:pPr>
                    <w:spacing w:line="220" w:lineRule="exact"/>
                    <w:rPr>
                      <w:rFonts w:asciiTheme="majorHAnsi" w:eastAsiaTheme="majorEastAsia" w:hAnsiTheme="majorHAnsi" w:cstheme="majorHAnsi"/>
                      <w:sz w:val="16"/>
                      <w:szCs w:val="16"/>
                      <w:highlight w:val="yellow"/>
                    </w:rPr>
                  </w:pPr>
                  <w:r w:rsidRPr="008354B5">
                    <w:rPr>
                      <w:rFonts w:asciiTheme="majorHAnsi" w:eastAsiaTheme="majorEastAsia" w:hAnsiTheme="majorHAnsi" w:cstheme="majorHAnsi"/>
                      <w:sz w:val="16"/>
                      <w:szCs w:val="16"/>
                    </w:rPr>
                    <w:t>Pemeliharaan sistem rem</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A4FB49"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BAF541"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59E222"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1FECECE5"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70258D" w:rsidRPr="002036B9" w14:paraId="3C9E4BE1" w14:textId="77777777" w:rsidTr="00F94DFF">
        <w:trPr>
          <w:trHeight w:val="457"/>
        </w:trPr>
        <w:tc>
          <w:tcPr>
            <w:tcW w:w="2551" w:type="dxa"/>
            <w:vMerge w:val="restart"/>
            <w:vAlign w:val="center"/>
          </w:tcPr>
          <w:p w14:paraId="5F08D86E" w14:textId="77777777" w:rsidR="0070258D" w:rsidRPr="002036B9" w:rsidRDefault="0070258D" w:rsidP="0070258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70258D" w:rsidRPr="002036B9" w:rsidRDefault="0070258D" w:rsidP="0070258D">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70258D" w:rsidRPr="002036B9" w:rsidRDefault="0070258D" w:rsidP="0070258D">
            <w:pPr>
              <w:spacing w:line="160" w:lineRule="exact"/>
              <w:jc w:val="center"/>
              <w:rPr>
                <w:sz w:val="14"/>
                <w:szCs w:val="14"/>
              </w:rPr>
            </w:pPr>
          </w:p>
        </w:tc>
        <w:tc>
          <w:tcPr>
            <w:tcW w:w="609" w:type="dxa"/>
          </w:tcPr>
          <w:p w14:paraId="24DB2B9D" w14:textId="77777777" w:rsidR="0070258D" w:rsidRPr="002036B9" w:rsidRDefault="0070258D" w:rsidP="0070258D">
            <w:pPr>
              <w:spacing w:line="160" w:lineRule="exact"/>
              <w:rPr>
                <w:sz w:val="14"/>
                <w:szCs w:val="14"/>
              </w:rPr>
            </w:pPr>
          </w:p>
        </w:tc>
        <w:tc>
          <w:tcPr>
            <w:tcW w:w="610" w:type="dxa"/>
          </w:tcPr>
          <w:p w14:paraId="0724DCBD"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vAlign w:val="center"/>
          </w:tcPr>
          <w:p w14:paraId="78E1646A" w14:textId="77777777" w:rsidR="0070258D" w:rsidRDefault="0070258D" w:rsidP="0070258D">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03E9D508" w14:textId="79D63429" w:rsidR="0070258D" w:rsidRPr="008F559E" w:rsidRDefault="0070258D" w:rsidP="0070258D">
            <w:pPr>
              <w:spacing w:line="160" w:lineRule="exact"/>
              <w:rPr>
                <w:rFonts w:asciiTheme="majorHAnsi" w:hAnsiTheme="majorHAnsi" w:cstheme="majorHAnsi"/>
                <w:sz w:val="14"/>
                <w:szCs w:val="14"/>
                <w:highlight w:val="yellow"/>
              </w:rPr>
            </w:pPr>
            <w:r w:rsidRPr="00A51758">
              <w:rPr>
                <w:rFonts w:asciiTheme="majorHAnsi" w:eastAsiaTheme="majorEastAsia" w:hAnsiTheme="majorHAnsi" w:cstheme="majorHAnsi"/>
                <w:sz w:val="14"/>
                <w:szCs w:val="14"/>
              </w:rPr>
              <w:t>Penanganan, pemilihan dan penempatan bahan dan alat</w:t>
            </w:r>
          </w:p>
        </w:tc>
      </w:tr>
      <w:tr w:rsidR="0070258D" w:rsidRPr="002036B9" w14:paraId="259FCDD5" w14:textId="77777777" w:rsidTr="00F94DFF">
        <w:trPr>
          <w:trHeight w:val="407"/>
        </w:trPr>
        <w:tc>
          <w:tcPr>
            <w:tcW w:w="2551" w:type="dxa"/>
            <w:vMerge/>
          </w:tcPr>
          <w:p w14:paraId="1FD1C484" w14:textId="77777777" w:rsidR="0070258D" w:rsidRPr="002036B9" w:rsidRDefault="0070258D" w:rsidP="0070258D">
            <w:pPr>
              <w:spacing w:line="160" w:lineRule="exact"/>
              <w:rPr>
                <w:sz w:val="14"/>
                <w:szCs w:val="14"/>
              </w:rPr>
            </w:pPr>
          </w:p>
        </w:tc>
        <w:tc>
          <w:tcPr>
            <w:tcW w:w="609" w:type="dxa"/>
            <w:tcBorders>
              <w:top w:val="single" w:sz="4" w:space="0" w:color="auto"/>
            </w:tcBorders>
            <w:vAlign w:val="center"/>
          </w:tcPr>
          <w:p w14:paraId="4D6CC442" w14:textId="77777777" w:rsidR="0070258D" w:rsidRPr="002036B9" w:rsidRDefault="0070258D" w:rsidP="0070258D">
            <w:pPr>
              <w:spacing w:line="160" w:lineRule="exact"/>
              <w:jc w:val="center"/>
              <w:rPr>
                <w:sz w:val="14"/>
                <w:szCs w:val="14"/>
              </w:rPr>
            </w:pPr>
          </w:p>
        </w:tc>
        <w:tc>
          <w:tcPr>
            <w:tcW w:w="609" w:type="dxa"/>
            <w:tcBorders>
              <w:top w:val="single" w:sz="4" w:space="0" w:color="auto"/>
            </w:tcBorders>
          </w:tcPr>
          <w:p w14:paraId="60B1FCAE" w14:textId="77777777" w:rsidR="0070258D" w:rsidRPr="002036B9" w:rsidRDefault="0070258D" w:rsidP="0070258D">
            <w:pPr>
              <w:spacing w:line="160" w:lineRule="exact"/>
              <w:rPr>
                <w:sz w:val="14"/>
                <w:szCs w:val="14"/>
              </w:rPr>
            </w:pPr>
          </w:p>
        </w:tc>
        <w:tc>
          <w:tcPr>
            <w:tcW w:w="610" w:type="dxa"/>
            <w:tcBorders>
              <w:top w:val="single" w:sz="4" w:space="0" w:color="auto"/>
            </w:tcBorders>
          </w:tcPr>
          <w:p w14:paraId="27377DD9"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FDCAF6F" w14:textId="77777777" w:rsidR="0070258D" w:rsidRDefault="0070258D" w:rsidP="0070258D">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空気装置の車体からの取り外し、取り付け部や非解装部位の状態判断</w:t>
            </w:r>
          </w:p>
          <w:p w14:paraId="380EAA16" w14:textId="30432006" w:rsidR="0070258D" w:rsidRPr="008F559E" w:rsidRDefault="0070258D" w:rsidP="0070258D">
            <w:pPr>
              <w:spacing w:line="160" w:lineRule="exact"/>
              <w:rPr>
                <w:rFonts w:asciiTheme="majorHAnsi" w:hAnsiTheme="majorHAnsi" w:cstheme="majorHAnsi"/>
                <w:sz w:val="14"/>
                <w:szCs w:val="14"/>
                <w:highlight w:val="yellow"/>
              </w:rPr>
            </w:pPr>
            <w:r w:rsidRPr="008354B5">
              <w:rPr>
                <w:rFonts w:asciiTheme="majorHAnsi" w:eastAsiaTheme="majorEastAsia" w:hAnsiTheme="majorHAnsi" w:cstheme="majorHAnsi"/>
                <w:sz w:val="14"/>
                <w:szCs w:val="14"/>
              </w:rPr>
              <w:t xml:space="preserve">Pelepasan perlengkapan udara dari badan kendaraan dan penilaian kondisi bagian </w:t>
            </w:r>
            <w:r>
              <w:rPr>
                <w:rFonts w:asciiTheme="majorHAnsi" w:eastAsiaTheme="majorEastAsia" w:hAnsiTheme="majorHAnsi" w:cstheme="majorHAnsi"/>
                <w:sz w:val="14"/>
                <w:szCs w:val="14"/>
              </w:rPr>
              <w:t>mounting</w:t>
            </w:r>
            <w:r w:rsidRPr="008354B5">
              <w:rPr>
                <w:rFonts w:asciiTheme="majorHAnsi" w:eastAsiaTheme="majorEastAsia" w:hAnsiTheme="majorHAnsi" w:cstheme="majorHAnsi"/>
                <w:sz w:val="14"/>
                <w:szCs w:val="14"/>
              </w:rPr>
              <w:t xml:space="preserve"> dan bagian yang tidak dibongkar</w:t>
            </w:r>
          </w:p>
        </w:tc>
      </w:tr>
      <w:tr w:rsidR="0070258D" w:rsidRPr="002036B9" w14:paraId="1F1B374E" w14:textId="77777777" w:rsidTr="00F94DFF">
        <w:trPr>
          <w:trHeight w:val="427"/>
        </w:trPr>
        <w:tc>
          <w:tcPr>
            <w:tcW w:w="2551" w:type="dxa"/>
            <w:vMerge/>
          </w:tcPr>
          <w:p w14:paraId="7EA834EC" w14:textId="77777777" w:rsidR="0070258D" w:rsidRPr="002036B9" w:rsidRDefault="0070258D" w:rsidP="0070258D">
            <w:pPr>
              <w:spacing w:line="160" w:lineRule="exact"/>
              <w:rPr>
                <w:sz w:val="14"/>
                <w:szCs w:val="14"/>
              </w:rPr>
            </w:pPr>
          </w:p>
        </w:tc>
        <w:tc>
          <w:tcPr>
            <w:tcW w:w="609" w:type="dxa"/>
            <w:tcBorders>
              <w:top w:val="single" w:sz="4" w:space="0" w:color="auto"/>
            </w:tcBorders>
            <w:vAlign w:val="center"/>
          </w:tcPr>
          <w:p w14:paraId="16034C0E" w14:textId="77777777" w:rsidR="0070258D" w:rsidRPr="002036B9" w:rsidRDefault="0070258D" w:rsidP="0070258D">
            <w:pPr>
              <w:spacing w:line="160" w:lineRule="exact"/>
              <w:jc w:val="center"/>
              <w:rPr>
                <w:sz w:val="14"/>
                <w:szCs w:val="14"/>
              </w:rPr>
            </w:pPr>
          </w:p>
        </w:tc>
        <w:tc>
          <w:tcPr>
            <w:tcW w:w="609" w:type="dxa"/>
            <w:tcBorders>
              <w:top w:val="single" w:sz="4" w:space="0" w:color="auto"/>
            </w:tcBorders>
          </w:tcPr>
          <w:p w14:paraId="1789748E" w14:textId="77777777" w:rsidR="0070258D" w:rsidRPr="002036B9" w:rsidRDefault="0070258D" w:rsidP="0070258D">
            <w:pPr>
              <w:spacing w:line="160" w:lineRule="exact"/>
              <w:rPr>
                <w:sz w:val="14"/>
                <w:szCs w:val="14"/>
              </w:rPr>
            </w:pPr>
          </w:p>
        </w:tc>
        <w:tc>
          <w:tcPr>
            <w:tcW w:w="610" w:type="dxa"/>
            <w:tcBorders>
              <w:top w:val="single" w:sz="4" w:space="0" w:color="auto"/>
            </w:tcBorders>
          </w:tcPr>
          <w:p w14:paraId="0F49194C"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AE68840" w14:textId="77777777" w:rsidR="0070258D" w:rsidRDefault="0070258D" w:rsidP="0070258D">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空気装置の検査修繕</w:t>
            </w:r>
          </w:p>
          <w:p w14:paraId="23EEE6DB" w14:textId="0905D50C" w:rsidR="0070258D" w:rsidRPr="007753BB" w:rsidRDefault="0070258D" w:rsidP="0070258D">
            <w:pPr>
              <w:spacing w:line="160" w:lineRule="exact"/>
              <w:rPr>
                <w:i/>
                <w:sz w:val="14"/>
                <w:szCs w:val="14"/>
                <w:highlight w:val="yellow"/>
              </w:rPr>
            </w:pPr>
            <w:r w:rsidRPr="008354B5">
              <w:rPr>
                <w:rFonts w:asciiTheme="majorHAnsi" w:eastAsiaTheme="majorEastAsia" w:hAnsiTheme="majorHAnsi" w:cstheme="majorHAnsi"/>
                <w:sz w:val="14"/>
                <w:szCs w:val="14"/>
              </w:rPr>
              <w:t>Pemeriksaan dan perbaikan peralatan udara</w:t>
            </w:r>
          </w:p>
        </w:tc>
      </w:tr>
      <w:tr w:rsidR="0070258D" w:rsidRPr="002036B9" w14:paraId="3B0DE258" w14:textId="77777777" w:rsidTr="00F94DFF">
        <w:trPr>
          <w:trHeight w:val="405"/>
        </w:trPr>
        <w:tc>
          <w:tcPr>
            <w:tcW w:w="2551" w:type="dxa"/>
            <w:vMerge/>
          </w:tcPr>
          <w:p w14:paraId="72256A59" w14:textId="77777777" w:rsidR="0070258D" w:rsidRPr="002036B9" w:rsidRDefault="0070258D" w:rsidP="0070258D">
            <w:pPr>
              <w:spacing w:line="160" w:lineRule="exact"/>
              <w:rPr>
                <w:sz w:val="14"/>
                <w:szCs w:val="14"/>
              </w:rPr>
            </w:pPr>
          </w:p>
        </w:tc>
        <w:tc>
          <w:tcPr>
            <w:tcW w:w="609" w:type="dxa"/>
            <w:tcBorders>
              <w:top w:val="single" w:sz="4" w:space="0" w:color="auto"/>
            </w:tcBorders>
            <w:vAlign w:val="center"/>
          </w:tcPr>
          <w:p w14:paraId="206DCF52" w14:textId="77777777" w:rsidR="0070258D" w:rsidRPr="002036B9" w:rsidRDefault="0070258D" w:rsidP="0070258D">
            <w:pPr>
              <w:spacing w:line="160" w:lineRule="exact"/>
              <w:jc w:val="center"/>
              <w:rPr>
                <w:sz w:val="14"/>
                <w:szCs w:val="14"/>
              </w:rPr>
            </w:pPr>
          </w:p>
        </w:tc>
        <w:tc>
          <w:tcPr>
            <w:tcW w:w="609" w:type="dxa"/>
            <w:tcBorders>
              <w:top w:val="single" w:sz="4" w:space="0" w:color="auto"/>
            </w:tcBorders>
          </w:tcPr>
          <w:p w14:paraId="2FB7415A" w14:textId="77777777" w:rsidR="0070258D" w:rsidRPr="002036B9" w:rsidRDefault="0070258D" w:rsidP="0070258D">
            <w:pPr>
              <w:spacing w:line="160" w:lineRule="exact"/>
              <w:rPr>
                <w:sz w:val="14"/>
                <w:szCs w:val="14"/>
              </w:rPr>
            </w:pPr>
          </w:p>
        </w:tc>
        <w:tc>
          <w:tcPr>
            <w:tcW w:w="610" w:type="dxa"/>
            <w:tcBorders>
              <w:top w:val="single" w:sz="4" w:space="0" w:color="auto"/>
            </w:tcBorders>
          </w:tcPr>
          <w:p w14:paraId="2452D4E4"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500A4D6" w14:textId="77777777" w:rsidR="0070258D" w:rsidRDefault="0070258D" w:rsidP="0070258D">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空気装置の組み立て</w:t>
            </w:r>
            <w:r>
              <w:rPr>
                <w:rFonts w:asciiTheme="majorHAnsi" w:eastAsiaTheme="majorEastAsia" w:hAnsiTheme="majorHAnsi" w:cstheme="majorHAnsi" w:hint="eastAsia"/>
                <w:sz w:val="14"/>
                <w:szCs w:val="14"/>
              </w:rPr>
              <w:t>及び</w:t>
            </w:r>
            <w:r w:rsidRPr="004217C0">
              <w:rPr>
                <w:rFonts w:asciiTheme="majorHAnsi" w:eastAsiaTheme="majorEastAsia" w:hAnsiTheme="majorHAnsi" w:cstheme="majorHAnsi" w:hint="eastAsia"/>
                <w:sz w:val="14"/>
                <w:szCs w:val="14"/>
              </w:rPr>
              <w:t>組み立て後の後検査</w:t>
            </w:r>
          </w:p>
          <w:p w14:paraId="4A79BB29" w14:textId="64C08619" w:rsidR="0070258D" w:rsidRPr="008F559E" w:rsidRDefault="0070258D" w:rsidP="0070258D">
            <w:pPr>
              <w:spacing w:line="160" w:lineRule="exact"/>
              <w:rPr>
                <w:sz w:val="14"/>
                <w:szCs w:val="14"/>
                <w:highlight w:val="yellow"/>
              </w:rPr>
            </w:pPr>
            <w:r w:rsidRPr="008354B5">
              <w:rPr>
                <w:rFonts w:asciiTheme="majorHAnsi" w:eastAsiaTheme="majorEastAsia" w:hAnsiTheme="majorHAnsi" w:cstheme="majorHAnsi"/>
                <w:sz w:val="14"/>
                <w:szCs w:val="14"/>
              </w:rPr>
              <w:t>Merakit peralatan udara dan inspeksi</w:t>
            </w:r>
            <w:r>
              <w:rPr>
                <w:rFonts w:asciiTheme="majorHAnsi" w:eastAsiaTheme="majorEastAsia" w:hAnsiTheme="majorHAnsi" w:cstheme="majorHAnsi"/>
                <w:sz w:val="14"/>
                <w:szCs w:val="14"/>
              </w:rPr>
              <w:t>-pasca</w:t>
            </w:r>
            <w:r w:rsidRPr="008354B5">
              <w:rPr>
                <w:rFonts w:asciiTheme="majorHAnsi" w:eastAsiaTheme="majorEastAsia" w:hAnsiTheme="majorHAnsi" w:cstheme="majorHAnsi"/>
                <w:sz w:val="14"/>
                <w:szCs w:val="14"/>
              </w:rPr>
              <w:t xml:space="preserve"> setelah perakitan peralatan udara</w:t>
            </w:r>
          </w:p>
        </w:tc>
      </w:tr>
      <w:tr w:rsidR="0070258D" w:rsidRPr="002036B9" w14:paraId="67230584" w14:textId="77777777" w:rsidTr="00F94DFF">
        <w:trPr>
          <w:trHeight w:val="424"/>
        </w:trPr>
        <w:tc>
          <w:tcPr>
            <w:tcW w:w="2551" w:type="dxa"/>
            <w:vMerge/>
          </w:tcPr>
          <w:p w14:paraId="1EB12AA1" w14:textId="77777777" w:rsidR="0070258D" w:rsidRPr="002036B9" w:rsidRDefault="0070258D" w:rsidP="0070258D">
            <w:pPr>
              <w:spacing w:line="160" w:lineRule="exact"/>
              <w:rPr>
                <w:sz w:val="14"/>
                <w:szCs w:val="14"/>
              </w:rPr>
            </w:pPr>
          </w:p>
        </w:tc>
        <w:tc>
          <w:tcPr>
            <w:tcW w:w="609" w:type="dxa"/>
            <w:tcBorders>
              <w:top w:val="single" w:sz="4" w:space="0" w:color="auto"/>
            </w:tcBorders>
            <w:vAlign w:val="center"/>
          </w:tcPr>
          <w:p w14:paraId="0DBD221B" w14:textId="77777777" w:rsidR="0070258D" w:rsidRPr="002036B9" w:rsidRDefault="0070258D" w:rsidP="0070258D">
            <w:pPr>
              <w:spacing w:line="160" w:lineRule="exact"/>
              <w:jc w:val="center"/>
              <w:rPr>
                <w:sz w:val="14"/>
                <w:szCs w:val="14"/>
              </w:rPr>
            </w:pPr>
          </w:p>
        </w:tc>
        <w:tc>
          <w:tcPr>
            <w:tcW w:w="609" w:type="dxa"/>
            <w:tcBorders>
              <w:top w:val="single" w:sz="4" w:space="0" w:color="auto"/>
            </w:tcBorders>
          </w:tcPr>
          <w:p w14:paraId="2BD22174" w14:textId="77777777" w:rsidR="0070258D" w:rsidRPr="002036B9" w:rsidRDefault="0070258D" w:rsidP="0070258D">
            <w:pPr>
              <w:spacing w:line="160" w:lineRule="exact"/>
              <w:rPr>
                <w:sz w:val="14"/>
                <w:szCs w:val="14"/>
              </w:rPr>
            </w:pPr>
          </w:p>
        </w:tc>
        <w:tc>
          <w:tcPr>
            <w:tcW w:w="610" w:type="dxa"/>
            <w:tcBorders>
              <w:top w:val="single" w:sz="4" w:space="0" w:color="auto"/>
            </w:tcBorders>
          </w:tcPr>
          <w:p w14:paraId="375A2919"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242B65A" w14:textId="77777777" w:rsidR="0070258D" w:rsidRDefault="0070258D" w:rsidP="0070258D">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空気装置の車体への取り付け</w:t>
            </w:r>
          </w:p>
          <w:p w14:paraId="7FB1E820" w14:textId="745A6326" w:rsidR="0070258D" w:rsidRPr="008F559E" w:rsidRDefault="0070258D" w:rsidP="0070258D">
            <w:pPr>
              <w:spacing w:line="160" w:lineRule="exact"/>
              <w:rPr>
                <w:rFonts w:asciiTheme="majorHAnsi" w:eastAsiaTheme="majorEastAsia" w:hAnsiTheme="majorHAnsi" w:cstheme="majorHAnsi"/>
                <w:sz w:val="14"/>
                <w:szCs w:val="14"/>
                <w:highlight w:val="yellow"/>
              </w:rPr>
            </w:pPr>
            <w:r w:rsidRPr="008354B5">
              <w:rPr>
                <w:rFonts w:asciiTheme="majorHAnsi" w:eastAsiaTheme="majorEastAsia" w:hAnsiTheme="majorHAnsi" w:cstheme="majorHAnsi"/>
                <w:sz w:val="14"/>
                <w:szCs w:val="14"/>
              </w:rPr>
              <w:t xml:space="preserve">Memasang </w:t>
            </w:r>
            <w:r>
              <w:rPr>
                <w:rFonts w:asciiTheme="majorHAnsi" w:eastAsiaTheme="majorEastAsia" w:hAnsiTheme="majorHAnsi" w:cstheme="majorHAnsi"/>
                <w:sz w:val="14"/>
                <w:szCs w:val="14"/>
              </w:rPr>
              <w:t>peralatan</w:t>
            </w:r>
            <w:r w:rsidRPr="008354B5">
              <w:rPr>
                <w:rFonts w:asciiTheme="majorHAnsi" w:eastAsiaTheme="majorEastAsia" w:hAnsiTheme="majorHAnsi" w:cstheme="majorHAnsi"/>
                <w:sz w:val="14"/>
                <w:szCs w:val="14"/>
              </w:rPr>
              <w:t xml:space="preserve"> udara pada badan kendaraan</w:t>
            </w:r>
          </w:p>
        </w:tc>
      </w:tr>
      <w:tr w:rsidR="0070258D" w:rsidRPr="002036B9" w14:paraId="08694F02" w14:textId="77777777" w:rsidTr="00F94DFF">
        <w:trPr>
          <w:trHeight w:val="403"/>
        </w:trPr>
        <w:tc>
          <w:tcPr>
            <w:tcW w:w="2551" w:type="dxa"/>
            <w:vMerge w:val="restart"/>
            <w:vAlign w:val="center"/>
          </w:tcPr>
          <w:p w14:paraId="45977664" w14:textId="77777777" w:rsidR="0070258D" w:rsidRPr="002036B9" w:rsidRDefault="0070258D" w:rsidP="0070258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70258D" w:rsidRPr="002036B9" w:rsidRDefault="0070258D" w:rsidP="0070258D">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70258D" w:rsidRPr="002036B9" w:rsidRDefault="0070258D" w:rsidP="0070258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70258D" w:rsidRPr="002036B9" w:rsidRDefault="0070258D" w:rsidP="0070258D">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70258D" w:rsidRPr="002036B9" w:rsidRDefault="0070258D" w:rsidP="0070258D">
            <w:pPr>
              <w:spacing w:line="160" w:lineRule="exact"/>
              <w:rPr>
                <w:sz w:val="14"/>
                <w:szCs w:val="14"/>
              </w:rPr>
            </w:pPr>
          </w:p>
        </w:tc>
        <w:tc>
          <w:tcPr>
            <w:tcW w:w="609" w:type="dxa"/>
            <w:vAlign w:val="center"/>
          </w:tcPr>
          <w:p w14:paraId="2704DA73" w14:textId="77777777" w:rsidR="0070258D" w:rsidRPr="002036B9" w:rsidRDefault="0070258D" w:rsidP="0070258D">
            <w:pPr>
              <w:spacing w:line="160" w:lineRule="exact"/>
              <w:jc w:val="center"/>
              <w:rPr>
                <w:sz w:val="14"/>
                <w:szCs w:val="14"/>
              </w:rPr>
            </w:pPr>
          </w:p>
        </w:tc>
        <w:tc>
          <w:tcPr>
            <w:tcW w:w="610" w:type="dxa"/>
          </w:tcPr>
          <w:p w14:paraId="003D357D"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vAlign w:val="center"/>
          </w:tcPr>
          <w:p w14:paraId="284A3AF5" w14:textId="77777777" w:rsidR="0070258D" w:rsidRDefault="0070258D" w:rsidP="0070258D">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0A235465" w14:textId="42C49AFA" w:rsidR="0070258D" w:rsidRPr="008F559E" w:rsidRDefault="0070258D" w:rsidP="0070258D">
            <w:pPr>
              <w:spacing w:line="160" w:lineRule="exact"/>
              <w:rPr>
                <w:sz w:val="14"/>
                <w:szCs w:val="14"/>
                <w:highlight w:val="yellow"/>
              </w:rPr>
            </w:pPr>
            <w:r w:rsidRPr="00A51758">
              <w:rPr>
                <w:rFonts w:asciiTheme="majorHAnsi" w:eastAsiaTheme="majorEastAsia" w:hAnsiTheme="majorHAnsi" w:cstheme="majorHAnsi"/>
                <w:sz w:val="14"/>
                <w:szCs w:val="14"/>
              </w:rPr>
              <w:t xml:space="preserve">Pekerjaan pemeriksaan </w:t>
            </w:r>
            <w:r>
              <w:rPr>
                <w:rFonts w:asciiTheme="majorHAnsi" w:eastAsiaTheme="majorEastAsia" w:hAnsiTheme="majorHAnsi" w:cstheme="majorHAnsi"/>
                <w:sz w:val="14"/>
                <w:szCs w:val="14"/>
              </w:rPr>
              <w:t>badan</w:t>
            </w:r>
            <w:r w:rsidRPr="00A51758">
              <w:rPr>
                <w:rFonts w:asciiTheme="majorHAnsi" w:eastAsiaTheme="majorEastAsia" w:hAnsiTheme="majorHAnsi" w:cstheme="majorHAnsi"/>
                <w:sz w:val="14"/>
                <w:szCs w:val="14"/>
              </w:rPr>
              <w:t xml:space="preserve"> kendaraan</w:t>
            </w:r>
          </w:p>
        </w:tc>
      </w:tr>
      <w:tr w:rsidR="0070258D" w:rsidRPr="002036B9" w14:paraId="55C83264" w14:textId="77777777" w:rsidTr="00F94DFF">
        <w:trPr>
          <w:trHeight w:val="437"/>
        </w:trPr>
        <w:tc>
          <w:tcPr>
            <w:tcW w:w="2551" w:type="dxa"/>
            <w:vMerge/>
          </w:tcPr>
          <w:p w14:paraId="4B08A890" w14:textId="77777777" w:rsidR="0070258D" w:rsidRPr="002036B9" w:rsidRDefault="0070258D" w:rsidP="0070258D">
            <w:pPr>
              <w:spacing w:line="160" w:lineRule="exact"/>
              <w:rPr>
                <w:sz w:val="14"/>
                <w:szCs w:val="14"/>
              </w:rPr>
            </w:pPr>
          </w:p>
        </w:tc>
        <w:tc>
          <w:tcPr>
            <w:tcW w:w="609" w:type="dxa"/>
          </w:tcPr>
          <w:p w14:paraId="263775EE" w14:textId="77777777" w:rsidR="0070258D" w:rsidRPr="002036B9" w:rsidRDefault="0070258D" w:rsidP="0070258D">
            <w:pPr>
              <w:spacing w:line="160" w:lineRule="exact"/>
              <w:rPr>
                <w:sz w:val="14"/>
                <w:szCs w:val="14"/>
              </w:rPr>
            </w:pPr>
          </w:p>
        </w:tc>
        <w:tc>
          <w:tcPr>
            <w:tcW w:w="609" w:type="dxa"/>
          </w:tcPr>
          <w:p w14:paraId="38B3E83B" w14:textId="77777777" w:rsidR="0070258D" w:rsidRPr="002036B9" w:rsidRDefault="0070258D" w:rsidP="0070258D">
            <w:pPr>
              <w:spacing w:line="160" w:lineRule="exact"/>
              <w:rPr>
                <w:sz w:val="14"/>
                <w:szCs w:val="14"/>
              </w:rPr>
            </w:pPr>
          </w:p>
        </w:tc>
        <w:tc>
          <w:tcPr>
            <w:tcW w:w="610" w:type="dxa"/>
          </w:tcPr>
          <w:p w14:paraId="68E0DED2"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vAlign w:val="center"/>
          </w:tcPr>
          <w:p w14:paraId="6AB871F2" w14:textId="77777777" w:rsidR="0070258D" w:rsidRDefault="0070258D" w:rsidP="0070258D">
            <w:pPr>
              <w:spacing w:line="160" w:lineRule="exact"/>
              <w:rPr>
                <w:rFonts w:asciiTheme="majorHAnsi" w:eastAsiaTheme="majorEastAsia" w:hAnsiTheme="majorHAnsi" w:cstheme="majorHAnsi"/>
                <w:sz w:val="14"/>
                <w:szCs w:val="14"/>
              </w:rPr>
            </w:pPr>
            <w:r w:rsidRPr="00D038A6">
              <w:rPr>
                <w:rFonts w:asciiTheme="majorHAnsi" w:eastAsiaTheme="majorEastAsia" w:hAnsiTheme="majorHAnsi" w:cstheme="majorHAnsi" w:hint="eastAsia"/>
                <w:sz w:val="14"/>
                <w:szCs w:val="14"/>
              </w:rPr>
              <w:t>空気装置以外の装置の解ぎ装作業</w:t>
            </w:r>
          </w:p>
          <w:p w14:paraId="10A2EF6F" w14:textId="40F84487" w:rsidR="0070258D" w:rsidRPr="008F559E" w:rsidRDefault="0070258D" w:rsidP="0070258D">
            <w:pPr>
              <w:spacing w:line="160" w:lineRule="exact"/>
              <w:rPr>
                <w:sz w:val="14"/>
                <w:szCs w:val="14"/>
                <w:highlight w:val="yellow"/>
              </w:rPr>
            </w:pPr>
            <w:r w:rsidRPr="00634A02">
              <w:rPr>
                <w:rFonts w:asciiTheme="majorHAnsi" w:eastAsiaTheme="majorEastAsia" w:hAnsiTheme="majorHAnsi" w:cstheme="majorHAnsi"/>
                <w:sz w:val="14"/>
                <w:szCs w:val="14"/>
              </w:rPr>
              <w:t xml:space="preserve">Pekerjaan pembongkaran </w:t>
            </w:r>
            <w:r w:rsidRPr="00A51758">
              <w:rPr>
                <w:rFonts w:asciiTheme="majorHAnsi" w:eastAsiaTheme="majorEastAsia" w:hAnsiTheme="majorHAnsi" w:cstheme="majorHAnsi"/>
                <w:sz w:val="14"/>
                <w:szCs w:val="14"/>
              </w:rPr>
              <w:t>untuk</w:t>
            </w:r>
            <w:r>
              <w:rPr>
                <w:rFonts w:asciiTheme="majorHAnsi" w:eastAsiaTheme="majorEastAsia" w:hAnsiTheme="majorHAnsi" w:cstheme="majorHAnsi"/>
                <w:sz w:val="14"/>
                <w:szCs w:val="14"/>
              </w:rPr>
              <w:t xml:space="preserve"> </w:t>
            </w:r>
            <w:r w:rsidRPr="00A51758">
              <w:rPr>
                <w:rFonts w:asciiTheme="majorHAnsi" w:eastAsiaTheme="majorEastAsia" w:hAnsiTheme="majorHAnsi" w:cstheme="majorHAnsi"/>
                <w:sz w:val="14"/>
                <w:szCs w:val="14"/>
              </w:rPr>
              <w:t xml:space="preserve">peralatan selain </w:t>
            </w:r>
            <w:r w:rsidRPr="008354B5">
              <w:rPr>
                <w:rFonts w:asciiTheme="majorHAnsi" w:eastAsiaTheme="majorEastAsia" w:hAnsiTheme="majorHAnsi" w:cstheme="majorHAnsi"/>
                <w:sz w:val="14"/>
                <w:szCs w:val="14"/>
              </w:rPr>
              <w:t>peralatan udara</w:t>
            </w:r>
          </w:p>
        </w:tc>
      </w:tr>
      <w:tr w:rsidR="0070258D" w:rsidRPr="002036B9" w14:paraId="71EA16BF" w14:textId="77777777" w:rsidTr="00F94DFF">
        <w:trPr>
          <w:trHeight w:val="401"/>
        </w:trPr>
        <w:tc>
          <w:tcPr>
            <w:tcW w:w="2551" w:type="dxa"/>
            <w:vMerge/>
          </w:tcPr>
          <w:p w14:paraId="7C420196" w14:textId="77777777" w:rsidR="0070258D" w:rsidRPr="002036B9" w:rsidRDefault="0070258D" w:rsidP="0070258D">
            <w:pPr>
              <w:spacing w:line="160" w:lineRule="exact"/>
              <w:rPr>
                <w:sz w:val="14"/>
                <w:szCs w:val="14"/>
              </w:rPr>
            </w:pPr>
          </w:p>
        </w:tc>
        <w:tc>
          <w:tcPr>
            <w:tcW w:w="609" w:type="dxa"/>
            <w:vAlign w:val="center"/>
          </w:tcPr>
          <w:p w14:paraId="0B43E0D7" w14:textId="77777777" w:rsidR="0070258D" w:rsidRPr="002036B9" w:rsidRDefault="0070258D" w:rsidP="0070258D">
            <w:pPr>
              <w:spacing w:line="160" w:lineRule="exact"/>
              <w:jc w:val="center"/>
              <w:rPr>
                <w:sz w:val="14"/>
                <w:szCs w:val="14"/>
              </w:rPr>
            </w:pPr>
          </w:p>
        </w:tc>
        <w:tc>
          <w:tcPr>
            <w:tcW w:w="609" w:type="dxa"/>
          </w:tcPr>
          <w:p w14:paraId="461549A2" w14:textId="77777777" w:rsidR="0070258D" w:rsidRPr="002036B9" w:rsidRDefault="0070258D" w:rsidP="0070258D">
            <w:pPr>
              <w:spacing w:line="160" w:lineRule="exact"/>
              <w:rPr>
                <w:sz w:val="14"/>
                <w:szCs w:val="14"/>
              </w:rPr>
            </w:pPr>
          </w:p>
        </w:tc>
        <w:tc>
          <w:tcPr>
            <w:tcW w:w="610" w:type="dxa"/>
          </w:tcPr>
          <w:p w14:paraId="39B6A82A" w14:textId="77777777" w:rsidR="0070258D" w:rsidRPr="002036B9" w:rsidRDefault="0070258D" w:rsidP="0070258D">
            <w:pPr>
              <w:spacing w:line="160" w:lineRule="exact"/>
              <w:jc w:val="left"/>
              <w:rPr>
                <w:rFonts w:asciiTheme="majorHAnsi" w:eastAsiaTheme="majorEastAsia" w:hAnsiTheme="majorHAnsi" w:cstheme="majorHAnsi"/>
                <w:sz w:val="14"/>
                <w:szCs w:val="14"/>
              </w:rPr>
            </w:pPr>
          </w:p>
        </w:tc>
        <w:tc>
          <w:tcPr>
            <w:tcW w:w="5543" w:type="dxa"/>
            <w:vAlign w:val="center"/>
          </w:tcPr>
          <w:p w14:paraId="69DBE5CB" w14:textId="77777777" w:rsidR="0070258D" w:rsidRDefault="0070258D" w:rsidP="0070258D">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点検調整作業</w:t>
            </w:r>
          </w:p>
          <w:p w14:paraId="49B2F83D" w14:textId="340B9F1F" w:rsidR="0070258D" w:rsidRPr="008F559E" w:rsidRDefault="0070258D" w:rsidP="0070258D">
            <w:pPr>
              <w:spacing w:line="160" w:lineRule="exact"/>
              <w:rPr>
                <w:sz w:val="14"/>
                <w:szCs w:val="14"/>
                <w:highlight w:val="yellow"/>
              </w:rPr>
            </w:pPr>
            <w:r w:rsidRPr="00A51758">
              <w:rPr>
                <w:rFonts w:asciiTheme="majorHAnsi" w:eastAsiaTheme="majorEastAsia" w:hAnsiTheme="majorHAnsi" w:cstheme="majorHAnsi"/>
                <w:sz w:val="14"/>
                <w:szCs w:val="14"/>
              </w:rPr>
              <w:t>Pekerjaan inspeksi dan penyesuaian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0258D"/>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01CF"/>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A24EB"/>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897</Words>
  <Characters>5116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2023-11-10T05:00:00Z</dcterms:modified>
</cp:coreProperties>
</file>