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74DA2E5" w14:textId="77777777" w:rsidR="00F07496" w:rsidRDefault="00F07496" w:rsidP="00F07496">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配管</w:t>
                  </w:r>
                </w:p>
                <w:p w14:paraId="6E7FF388" w14:textId="586F18F6" w:rsidR="005739FD" w:rsidRPr="00F07496" w:rsidRDefault="00F07496" w:rsidP="00F07496">
                  <w:pPr>
                    <w:spacing w:line="220" w:lineRule="exact"/>
                    <w:jc w:val="left"/>
                    <w:rPr>
                      <w:rStyle w:val="Chinese"/>
                      <w:lang w:eastAsia="ja-JP"/>
                    </w:rPr>
                  </w:pPr>
                  <w:r w:rsidRPr="00F07496">
                    <w:rPr>
                      <w:rStyle w:val="Chinese"/>
                      <w:rFonts w:hint="eastAsia"/>
                    </w:rPr>
                    <w:t>配管</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3D5169EF" w14:textId="77777777" w:rsidR="00F07496" w:rsidRDefault="00F07496" w:rsidP="00F07496">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プラント配管作業</w:t>
                  </w:r>
                </w:p>
                <w:p w14:paraId="798FCABF" w14:textId="0B046191" w:rsidR="005739FD" w:rsidRPr="00F07496" w:rsidRDefault="00F07496" w:rsidP="00F07496">
                  <w:pPr>
                    <w:spacing w:line="220" w:lineRule="exact"/>
                    <w:rPr>
                      <w:rStyle w:val="Chinese"/>
                      <w:lang w:eastAsia="ja-JP"/>
                    </w:rPr>
                  </w:pPr>
                  <w:r w:rsidRPr="00F07496">
                    <w:rPr>
                      <w:rStyle w:val="Chinese"/>
                      <w:rFonts w:hint="eastAsia"/>
                    </w:rPr>
                    <w:t>成套设备配管业务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D05C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D05CF">
              <w:rPr>
                <w:rFonts w:ascii="Arial" w:hAnsi="Arial" w:cs="Arial"/>
                <w:color w:val="000000" w:themeColor="text1"/>
                <w:sz w:val="16"/>
                <w:szCs w:val="16"/>
              </w:rPr>
              <w:t>(</w:t>
            </w:r>
            <w:r w:rsidRPr="002D05CF">
              <w:rPr>
                <w:rFonts w:ascii="Arial" w:hAnsi="Arial" w:cs="Arial" w:hint="eastAsia"/>
                <w:color w:val="000000" w:themeColor="text1"/>
                <w:sz w:val="16"/>
                <w:szCs w:val="16"/>
              </w:rPr>
              <w:t>法務省・厚生労働省許可番号</w:t>
            </w:r>
            <w:r w:rsidRPr="002D05C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70AF2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40364E"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4B878B"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205AE6D">
                <wp:simplePos x="0" y="0"/>
                <wp:positionH relativeFrom="column">
                  <wp:posOffset>5582920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Jrlisf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D05C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D05C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D05CF">
        <w:trPr>
          <w:trHeight w:val="546"/>
        </w:trPr>
        <w:tc>
          <w:tcPr>
            <w:tcW w:w="2816" w:type="dxa"/>
            <w:vAlign w:val="center"/>
          </w:tcPr>
          <w:p w14:paraId="15D14FC3" w14:textId="77777777" w:rsidR="00E133DD" w:rsidRPr="00D05221" w:rsidRDefault="00E133DD" w:rsidP="00F23B9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D05C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D05C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D05C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D05C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D05C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D05C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D05C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D05C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24D28" w:rsidRPr="002036B9" w14:paraId="39D48E60" w14:textId="77777777" w:rsidTr="00E9488A">
        <w:trPr>
          <w:trHeight w:val="457"/>
        </w:trPr>
        <w:tc>
          <w:tcPr>
            <w:tcW w:w="2551" w:type="dxa"/>
            <w:vMerge w:val="restart"/>
            <w:vAlign w:val="center"/>
          </w:tcPr>
          <w:p w14:paraId="242FF386" w14:textId="77777777" w:rsidR="00D24D28" w:rsidRPr="00D05221" w:rsidRDefault="00D24D28" w:rsidP="00D24D2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24D28" w:rsidRPr="00D05221" w:rsidRDefault="00D24D28" w:rsidP="00D24D2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24D28" w:rsidRPr="00D05221" w:rsidRDefault="00D24D28" w:rsidP="00D24D28">
            <w:pPr>
              <w:spacing w:line="160" w:lineRule="exact"/>
              <w:jc w:val="center"/>
              <w:rPr>
                <w:sz w:val="14"/>
                <w:szCs w:val="14"/>
              </w:rPr>
            </w:pPr>
          </w:p>
        </w:tc>
        <w:tc>
          <w:tcPr>
            <w:tcW w:w="609" w:type="dxa"/>
            <w:vAlign w:val="center"/>
          </w:tcPr>
          <w:p w14:paraId="2FEA6C09" w14:textId="77777777" w:rsidR="00D24D28" w:rsidRPr="00D05221" w:rsidRDefault="00D24D28" w:rsidP="00D24D28">
            <w:pPr>
              <w:spacing w:line="160" w:lineRule="exact"/>
              <w:jc w:val="center"/>
              <w:rPr>
                <w:sz w:val="14"/>
                <w:szCs w:val="14"/>
              </w:rPr>
            </w:pPr>
          </w:p>
        </w:tc>
        <w:tc>
          <w:tcPr>
            <w:tcW w:w="610" w:type="dxa"/>
            <w:vAlign w:val="center"/>
          </w:tcPr>
          <w:p w14:paraId="4F3F5A21" w14:textId="77777777" w:rsidR="00D24D28" w:rsidRPr="00D05221" w:rsidRDefault="00D24D28" w:rsidP="00D24D28">
            <w:pPr>
              <w:spacing w:line="160" w:lineRule="exact"/>
              <w:jc w:val="center"/>
              <w:rPr>
                <w:rFonts w:asciiTheme="majorHAnsi" w:eastAsiaTheme="majorEastAsia" w:hAnsiTheme="majorHAnsi" w:cstheme="majorHAnsi"/>
                <w:sz w:val="14"/>
                <w:szCs w:val="14"/>
              </w:rPr>
            </w:pPr>
          </w:p>
        </w:tc>
        <w:tc>
          <w:tcPr>
            <w:tcW w:w="5543" w:type="dxa"/>
            <w:vAlign w:val="center"/>
          </w:tcPr>
          <w:p w14:paraId="38C54F1D"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各種管のマーキング、切断及び曲げ作業</w:t>
            </w:r>
          </w:p>
          <w:p w14:paraId="388AA479" w14:textId="3FB78660" w:rsidR="00D24D28" w:rsidRPr="00CC444B" w:rsidRDefault="00D24D28" w:rsidP="00D24D28">
            <w:pPr>
              <w:pStyle w:val="Chinese7pt"/>
              <w:rPr>
                <w:rFonts w:eastAsiaTheme="minorEastAsia"/>
                <w:lang w:eastAsia="zh-CN"/>
              </w:rPr>
            </w:pPr>
            <w:r>
              <w:rPr>
                <w:rFonts w:hint="eastAsia"/>
                <w:lang w:val="en" w:eastAsia="zh-CN"/>
              </w:rPr>
              <w:t>各种管道的标记、切割及弯曲业务</w:t>
            </w:r>
          </w:p>
        </w:tc>
      </w:tr>
      <w:tr w:rsidR="00D24D28" w:rsidRPr="002036B9" w14:paraId="3096179A" w14:textId="77777777" w:rsidTr="00E9488A">
        <w:trPr>
          <w:trHeight w:val="407"/>
        </w:trPr>
        <w:tc>
          <w:tcPr>
            <w:tcW w:w="2551" w:type="dxa"/>
            <w:vMerge/>
          </w:tcPr>
          <w:p w14:paraId="2A66B93D" w14:textId="77777777" w:rsidR="00D24D28" w:rsidRPr="00D05221" w:rsidRDefault="00D24D28" w:rsidP="00D24D28">
            <w:pPr>
              <w:spacing w:line="160" w:lineRule="exact"/>
              <w:rPr>
                <w:sz w:val="14"/>
                <w:szCs w:val="14"/>
                <w:lang w:eastAsia="zh-CN"/>
              </w:rPr>
            </w:pPr>
          </w:p>
        </w:tc>
        <w:tc>
          <w:tcPr>
            <w:tcW w:w="609" w:type="dxa"/>
            <w:tcBorders>
              <w:top w:val="single" w:sz="4" w:space="0" w:color="auto"/>
            </w:tcBorders>
            <w:vAlign w:val="center"/>
          </w:tcPr>
          <w:p w14:paraId="41DD3420" w14:textId="77777777" w:rsidR="00D24D28" w:rsidRPr="00D05221" w:rsidRDefault="00D24D28" w:rsidP="00D24D2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24D28" w:rsidRPr="00D05221" w:rsidRDefault="00D24D28" w:rsidP="00D24D2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AC0B4EE"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各種継手による管接合作業</w:t>
            </w:r>
          </w:p>
          <w:p w14:paraId="28DC903C" w14:textId="32A8B784" w:rsidR="00D24D28" w:rsidRPr="00195778" w:rsidRDefault="00881632" w:rsidP="00D24D28">
            <w:pPr>
              <w:pStyle w:val="Chinese7pt"/>
              <w:rPr>
                <w:lang w:eastAsia="zh-CN"/>
              </w:rPr>
            </w:pPr>
            <w:r w:rsidRPr="00881632">
              <w:rPr>
                <w:rFonts w:hint="eastAsia"/>
                <w:lang w:val="en" w:eastAsia="zh-CN"/>
              </w:rPr>
              <w:t>使用各种接头的管道接合业务</w:t>
            </w:r>
          </w:p>
        </w:tc>
      </w:tr>
      <w:tr w:rsidR="00D24D28" w:rsidRPr="002036B9" w14:paraId="59E22D4E" w14:textId="77777777" w:rsidTr="00E9488A">
        <w:trPr>
          <w:trHeight w:val="427"/>
        </w:trPr>
        <w:tc>
          <w:tcPr>
            <w:tcW w:w="2551" w:type="dxa"/>
            <w:vMerge/>
          </w:tcPr>
          <w:p w14:paraId="09144591" w14:textId="77777777" w:rsidR="00D24D28" w:rsidRPr="00D05221" w:rsidRDefault="00D24D28" w:rsidP="00D24D28">
            <w:pPr>
              <w:spacing w:line="160" w:lineRule="exact"/>
              <w:rPr>
                <w:sz w:val="14"/>
                <w:szCs w:val="14"/>
                <w:lang w:eastAsia="zh-CN"/>
              </w:rPr>
            </w:pPr>
          </w:p>
        </w:tc>
        <w:tc>
          <w:tcPr>
            <w:tcW w:w="609" w:type="dxa"/>
            <w:tcBorders>
              <w:top w:val="single" w:sz="4" w:space="0" w:color="auto"/>
            </w:tcBorders>
            <w:vAlign w:val="center"/>
          </w:tcPr>
          <w:p w14:paraId="69BD7E40" w14:textId="77777777" w:rsidR="00D24D28" w:rsidRPr="00D05221" w:rsidRDefault="00D24D28" w:rsidP="00D24D2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D24D28" w:rsidRPr="00D05221" w:rsidRDefault="00D24D28" w:rsidP="00D24D2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D4F0BA0"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配管及び配管用附属品の取付け作業</w:t>
            </w:r>
          </w:p>
          <w:p w14:paraId="0307B61D" w14:textId="623E689F" w:rsidR="00D24D28" w:rsidRPr="0052480F" w:rsidRDefault="00D24D28" w:rsidP="00D24D28">
            <w:pPr>
              <w:pStyle w:val="Chinese7pt"/>
              <w:rPr>
                <w:rFonts w:eastAsiaTheme="minorEastAsia"/>
                <w:lang w:eastAsia="zh-CN"/>
              </w:rPr>
            </w:pPr>
            <w:r>
              <w:rPr>
                <w:rFonts w:hint="eastAsia"/>
                <w:lang w:val="en" w:eastAsia="zh-CN"/>
              </w:rPr>
              <w:t>配管及配管用附属品的安装业务</w:t>
            </w:r>
          </w:p>
        </w:tc>
      </w:tr>
      <w:tr w:rsidR="00D24D28" w:rsidRPr="002036B9" w14:paraId="3A4B616B" w14:textId="77777777" w:rsidTr="00E9488A">
        <w:trPr>
          <w:trHeight w:val="405"/>
        </w:trPr>
        <w:tc>
          <w:tcPr>
            <w:tcW w:w="2551" w:type="dxa"/>
            <w:vMerge/>
          </w:tcPr>
          <w:p w14:paraId="54F10113" w14:textId="77777777" w:rsidR="00D24D28" w:rsidRPr="00D05221" w:rsidRDefault="00D24D28" w:rsidP="00D24D28">
            <w:pPr>
              <w:spacing w:line="160" w:lineRule="exact"/>
              <w:rPr>
                <w:sz w:val="14"/>
                <w:szCs w:val="14"/>
                <w:lang w:eastAsia="zh-CN"/>
              </w:rPr>
            </w:pPr>
          </w:p>
        </w:tc>
        <w:tc>
          <w:tcPr>
            <w:tcW w:w="609" w:type="dxa"/>
            <w:tcBorders>
              <w:top w:val="single" w:sz="4" w:space="0" w:color="auto"/>
            </w:tcBorders>
            <w:vAlign w:val="center"/>
          </w:tcPr>
          <w:p w14:paraId="3CC30A6C" w14:textId="77777777" w:rsidR="00D24D28" w:rsidRPr="00D05221" w:rsidRDefault="00D24D28" w:rsidP="00D24D28">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24D28" w:rsidRPr="00D05221" w:rsidRDefault="00D24D28" w:rsidP="00D24D28">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859D65"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配管図の読図作業</w:t>
            </w:r>
          </w:p>
          <w:p w14:paraId="070DDFB2" w14:textId="38877420" w:rsidR="00D24D28" w:rsidRPr="003E4761" w:rsidRDefault="00D24D28" w:rsidP="00D24D28">
            <w:pPr>
              <w:pStyle w:val="Chinese7pt"/>
              <w:rPr>
                <w:rStyle w:val="Chinese"/>
                <w:rFonts w:eastAsiaTheme="minorEastAsia" w:hAnsiTheme="minorHAnsi"/>
                <w:sz w:val="14"/>
                <w:lang w:eastAsia="ja-JP"/>
              </w:rPr>
            </w:pPr>
            <w:r>
              <w:rPr>
                <w:rFonts w:hint="eastAsia"/>
                <w:lang w:val="en"/>
              </w:rPr>
              <w:t>配管图的读图业务</w:t>
            </w:r>
          </w:p>
        </w:tc>
      </w:tr>
      <w:tr w:rsidR="00D24D28" w:rsidRPr="002036B9" w14:paraId="4732135B" w14:textId="77777777" w:rsidTr="00E9488A">
        <w:trPr>
          <w:trHeight w:val="424"/>
        </w:trPr>
        <w:tc>
          <w:tcPr>
            <w:tcW w:w="2551" w:type="dxa"/>
            <w:vMerge/>
          </w:tcPr>
          <w:p w14:paraId="78E510B9" w14:textId="77777777" w:rsidR="00D24D28" w:rsidRPr="00D05221" w:rsidRDefault="00D24D28" w:rsidP="00D24D28">
            <w:pPr>
              <w:spacing w:line="160" w:lineRule="exact"/>
              <w:rPr>
                <w:sz w:val="14"/>
                <w:szCs w:val="14"/>
              </w:rPr>
            </w:pPr>
          </w:p>
        </w:tc>
        <w:tc>
          <w:tcPr>
            <w:tcW w:w="609" w:type="dxa"/>
            <w:tcBorders>
              <w:top w:val="single" w:sz="4" w:space="0" w:color="auto"/>
            </w:tcBorders>
            <w:vAlign w:val="center"/>
          </w:tcPr>
          <w:p w14:paraId="06BF74A8" w14:textId="77777777" w:rsidR="00D24D28" w:rsidRPr="00D05221" w:rsidRDefault="00D24D28" w:rsidP="00D24D28">
            <w:pPr>
              <w:spacing w:line="160" w:lineRule="exact"/>
              <w:jc w:val="center"/>
              <w:rPr>
                <w:sz w:val="14"/>
                <w:szCs w:val="14"/>
              </w:rPr>
            </w:pPr>
          </w:p>
        </w:tc>
        <w:tc>
          <w:tcPr>
            <w:tcW w:w="609" w:type="dxa"/>
            <w:tcBorders>
              <w:top w:val="single" w:sz="4" w:space="0" w:color="auto"/>
            </w:tcBorders>
            <w:vAlign w:val="center"/>
          </w:tcPr>
          <w:p w14:paraId="79EB16C9" w14:textId="77777777" w:rsidR="00D24D28" w:rsidRPr="00D05221" w:rsidRDefault="00D24D28" w:rsidP="00D24D28">
            <w:pPr>
              <w:spacing w:line="160" w:lineRule="exact"/>
              <w:jc w:val="center"/>
              <w:rPr>
                <w:sz w:val="14"/>
                <w:szCs w:val="14"/>
              </w:rPr>
            </w:pPr>
          </w:p>
        </w:tc>
        <w:tc>
          <w:tcPr>
            <w:tcW w:w="610" w:type="dxa"/>
            <w:tcBorders>
              <w:top w:val="single" w:sz="4" w:space="0" w:color="auto"/>
            </w:tcBorders>
            <w:vAlign w:val="center"/>
          </w:tcPr>
          <w:p w14:paraId="4AD62158" w14:textId="77777777" w:rsidR="00D24D28" w:rsidRPr="00D05221" w:rsidRDefault="00D24D28" w:rsidP="00D24D2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28354C7" w14:textId="77777777" w:rsidR="00D24D28" w:rsidRDefault="00D24D28" w:rsidP="00D24D28">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測定作業</w:t>
            </w:r>
          </w:p>
          <w:p w14:paraId="13C9FE6B" w14:textId="6B4BCC07" w:rsidR="00D24D28" w:rsidRPr="00F45065" w:rsidRDefault="004A28A5" w:rsidP="00D24D28">
            <w:pPr>
              <w:pStyle w:val="Chinese7pt"/>
              <w:rPr>
                <w:lang w:eastAsia="zh-CN"/>
              </w:rPr>
            </w:pPr>
            <w:r w:rsidRPr="004A28A5">
              <w:rPr>
                <w:rFonts w:hint="eastAsia"/>
                <w:lang w:val="en" w:eastAsia="zh-CN"/>
              </w:rPr>
              <w:t>测量业务</w:t>
            </w:r>
          </w:p>
        </w:tc>
      </w:tr>
      <w:tr w:rsidR="00D24D28" w:rsidRPr="002036B9" w14:paraId="49D568E4" w14:textId="77777777" w:rsidTr="00E9488A">
        <w:trPr>
          <w:trHeight w:val="403"/>
        </w:trPr>
        <w:tc>
          <w:tcPr>
            <w:tcW w:w="2551" w:type="dxa"/>
            <w:vMerge w:val="restart"/>
            <w:vAlign w:val="center"/>
          </w:tcPr>
          <w:p w14:paraId="671D64A5" w14:textId="77777777" w:rsidR="00D24D28" w:rsidRPr="00D05221" w:rsidRDefault="00D24D28" w:rsidP="00D24D2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24D28" w:rsidRPr="00D05221" w:rsidRDefault="00D24D28" w:rsidP="00D24D2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24D28" w:rsidRPr="00D05221" w:rsidRDefault="00D24D28" w:rsidP="00D24D2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24D28" w:rsidRPr="00D05221" w:rsidRDefault="00D24D28" w:rsidP="00D24D2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24D28" w:rsidRPr="00D05221" w:rsidRDefault="00D24D28" w:rsidP="00D24D28">
            <w:pPr>
              <w:spacing w:line="160" w:lineRule="exact"/>
              <w:jc w:val="center"/>
              <w:rPr>
                <w:sz w:val="14"/>
                <w:szCs w:val="14"/>
                <w:lang w:eastAsia="zh-CN"/>
              </w:rPr>
            </w:pPr>
          </w:p>
        </w:tc>
        <w:tc>
          <w:tcPr>
            <w:tcW w:w="609" w:type="dxa"/>
            <w:vAlign w:val="center"/>
          </w:tcPr>
          <w:p w14:paraId="77875FE3" w14:textId="77777777" w:rsidR="00D24D28" w:rsidRPr="00D05221" w:rsidRDefault="00D24D28" w:rsidP="00D24D28">
            <w:pPr>
              <w:spacing w:line="160" w:lineRule="exact"/>
              <w:jc w:val="center"/>
              <w:rPr>
                <w:sz w:val="14"/>
                <w:szCs w:val="14"/>
                <w:lang w:eastAsia="zh-CN"/>
              </w:rPr>
            </w:pPr>
          </w:p>
        </w:tc>
        <w:tc>
          <w:tcPr>
            <w:tcW w:w="610" w:type="dxa"/>
            <w:vAlign w:val="center"/>
          </w:tcPr>
          <w:p w14:paraId="1F767B75"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3B9947A"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管の被覆･塗装作業</w:t>
            </w:r>
          </w:p>
          <w:p w14:paraId="64CDE4F5" w14:textId="4C314C58" w:rsidR="00D24D28" w:rsidRPr="00195778" w:rsidRDefault="00D24D28" w:rsidP="00D24D28">
            <w:pPr>
              <w:pStyle w:val="Chinese7pt"/>
              <w:rPr>
                <w:lang w:eastAsia="zh-CN"/>
              </w:rPr>
            </w:pPr>
            <w:r>
              <w:rPr>
                <w:rFonts w:hint="eastAsia"/>
                <w:lang w:val="en" w:eastAsia="zh-CN"/>
              </w:rPr>
              <w:t>管道的包覆、涂装业务</w:t>
            </w:r>
          </w:p>
        </w:tc>
      </w:tr>
      <w:tr w:rsidR="00D24D28" w:rsidRPr="002036B9" w14:paraId="0A27DEBD" w14:textId="77777777" w:rsidTr="00E9488A">
        <w:trPr>
          <w:trHeight w:val="437"/>
        </w:trPr>
        <w:tc>
          <w:tcPr>
            <w:tcW w:w="2551" w:type="dxa"/>
            <w:vMerge/>
          </w:tcPr>
          <w:p w14:paraId="1B25BD29" w14:textId="77777777" w:rsidR="00D24D28" w:rsidRPr="00D05221" w:rsidRDefault="00D24D28" w:rsidP="00D24D28">
            <w:pPr>
              <w:spacing w:line="160" w:lineRule="exact"/>
              <w:rPr>
                <w:sz w:val="14"/>
                <w:szCs w:val="14"/>
                <w:lang w:eastAsia="zh-CN"/>
              </w:rPr>
            </w:pPr>
          </w:p>
        </w:tc>
        <w:tc>
          <w:tcPr>
            <w:tcW w:w="609" w:type="dxa"/>
            <w:vAlign w:val="center"/>
          </w:tcPr>
          <w:p w14:paraId="11D68891" w14:textId="77777777" w:rsidR="00D24D28" w:rsidRPr="00D05221" w:rsidRDefault="00D24D28" w:rsidP="00D24D28">
            <w:pPr>
              <w:spacing w:line="160" w:lineRule="exact"/>
              <w:jc w:val="center"/>
              <w:rPr>
                <w:sz w:val="14"/>
                <w:szCs w:val="14"/>
                <w:lang w:eastAsia="zh-CN"/>
              </w:rPr>
            </w:pPr>
          </w:p>
        </w:tc>
        <w:tc>
          <w:tcPr>
            <w:tcW w:w="609" w:type="dxa"/>
            <w:vAlign w:val="center"/>
          </w:tcPr>
          <w:p w14:paraId="6E41DEC4" w14:textId="77777777" w:rsidR="00D24D28" w:rsidRPr="00D05221" w:rsidRDefault="00D24D28" w:rsidP="00D24D28">
            <w:pPr>
              <w:spacing w:line="160" w:lineRule="exact"/>
              <w:jc w:val="center"/>
              <w:rPr>
                <w:sz w:val="14"/>
                <w:szCs w:val="14"/>
                <w:lang w:eastAsia="zh-CN"/>
              </w:rPr>
            </w:pPr>
          </w:p>
        </w:tc>
        <w:tc>
          <w:tcPr>
            <w:tcW w:w="610" w:type="dxa"/>
            <w:vAlign w:val="center"/>
          </w:tcPr>
          <w:p w14:paraId="700BF8F7"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674199F"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管施設の機能試験作業</w:t>
            </w:r>
          </w:p>
          <w:p w14:paraId="3E34C9A0" w14:textId="3FD2C4D3" w:rsidR="00D24D28" w:rsidRPr="004B56F7" w:rsidRDefault="00D24D28" w:rsidP="00D24D28">
            <w:pPr>
              <w:pStyle w:val="Chinese7pt"/>
              <w:rPr>
                <w:rFonts w:eastAsiaTheme="minorEastAsia"/>
                <w:lang w:eastAsia="zh-CN"/>
              </w:rPr>
            </w:pPr>
            <w:r>
              <w:rPr>
                <w:rFonts w:hint="eastAsia"/>
                <w:lang w:val="en" w:eastAsia="zh-CN"/>
              </w:rPr>
              <w:t>管道设施的功能测试业务</w:t>
            </w:r>
          </w:p>
        </w:tc>
      </w:tr>
      <w:tr w:rsidR="00D24D28" w:rsidRPr="002036B9" w14:paraId="196035E6" w14:textId="77777777" w:rsidTr="00E9488A">
        <w:trPr>
          <w:trHeight w:val="401"/>
        </w:trPr>
        <w:tc>
          <w:tcPr>
            <w:tcW w:w="2551" w:type="dxa"/>
            <w:vMerge/>
          </w:tcPr>
          <w:p w14:paraId="3698A372" w14:textId="77777777" w:rsidR="00D24D28" w:rsidRPr="00D05221" w:rsidRDefault="00D24D28" w:rsidP="00D24D28">
            <w:pPr>
              <w:spacing w:line="160" w:lineRule="exact"/>
              <w:rPr>
                <w:sz w:val="14"/>
                <w:szCs w:val="14"/>
                <w:lang w:eastAsia="zh-CN"/>
              </w:rPr>
            </w:pPr>
          </w:p>
        </w:tc>
        <w:tc>
          <w:tcPr>
            <w:tcW w:w="609" w:type="dxa"/>
            <w:vAlign w:val="center"/>
          </w:tcPr>
          <w:p w14:paraId="18C31B64" w14:textId="77777777" w:rsidR="00D24D28" w:rsidRPr="00D05221" w:rsidRDefault="00D24D28" w:rsidP="00D24D28">
            <w:pPr>
              <w:spacing w:line="160" w:lineRule="exact"/>
              <w:jc w:val="center"/>
              <w:rPr>
                <w:sz w:val="14"/>
                <w:szCs w:val="14"/>
                <w:lang w:eastAsia="zh-CN"/>
              </w:rPr>
            </w:pPr>
          </w:p>
        </w:tc>
        <w:tc>
          <w:tcPr>
            <w:tcW w:w="609" w:type="dxa"/>
            <w:vAlign w:val="center"/>
          </w:tcPr>
          <w:p w14:paraId="0FFE900A" w14:textId="77777777" w:rsidR="00D24D28" w:rsidRPr="00D05221" w:rsidRDefault="00D24D28" w:rsidP="00D24D28">
            <w:pPr>
              <w:spacing w:line="160" w:lineRule="exact"/>
              <w:jc w:val="center"/>
              <w:rPr>
                <w:sz w:val="14"/>
                <w:szCs w:val="14"/>
                <w:lang w:eastAsia="zh-CN"/>
              </w:rPr>
            </w:pPr>
          </w:p>
        </w:tc>
        <w:tc>
          <w:tcPr>
            <w:tcW w:w="610" w:type="dxa"/>
            <w:vAlign w:val="center"/>
          </w:tcPr>
          <w:p w14:paraId="33E898C4" w14:textId="77777777" w:rsidR="00D24D28" w:rsidRPr="00D05221" w:rsidRDefault="00D24D28" w:rsidP="00D24D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1DD03FE" w14:textId="77777777" w:rsidR="00D24D28" w:rsidRDefault="00D24D28" w:rsidP="00D24D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埋設・埋込・壁貫通等配管作業</w:t>
            </w:r>
          </w:p>
          <w:p w14:paraId="1B90B443" w14:textId="06921799" w:rsidR="00D24D28" w:rsidRPr="008C1183" w:rsidRDefault="00D24D28" w:rsidP="00D24D28">
            <w:pPr>
              <w:pStyle w:val="Chinese7pt"/>
              <w:rPr>
                <w:rStyle w:val="Chinese"/>
                <w:rFonts w:eastAsiaTheme="minorEastAsia" w:hAnsiTheme="minorHAnsi"/>
                <w:sz w:val="14"/>
                <w:lang w:val="en"/>
              </w:rPr>
            </w:pPr>
            <w:r>
              <w:rPr>
                <w:rFonts w:hint="eastAsia"/>
                <w:lang w:val="en" w:eastAsia="zh-CN"/>
              </w:rPr>
              <w:t>埋设、内置、壁面贯通等配管业务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2DB6F" w14:textId="77777777" w:rsidR="00924D97" w:rsidRDefault="00924D97" w:rsidP="006A5F3B">
      <w:r>
        <w:separator/>
      </w:r>
    </w:p>
    <w:p w14:paraId="52992DB4" w14:textId="77777777" w:rsidR="00924D97" w:rsidRDefault="00924D97"/>
  </w:endnote>
  <w:endnote w:type="continuationSeparator" w:id="0">
    <w:p w14:paraId="685F0272" w14:textId="77777777" w:rsidR="00924D97" w:rsidRDefault="00924D97" w:rsidP="006A5F3B">
      <w:r>
        <w:continuationSeparator/>
      </w:r>
    </w:p>
    <w:p w14:paraId="1FEDB0E6" w14:textId="77777777" w:rsidR="00924D97" w:rsidRDefault="00924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6C474618" w:rsidR="00B84F34"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F23B9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23B9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8C52" w14:textId="77777777" w:rsidR="00924D97" w:rsidRDefault="00924D97" w:rsidP="006A5F3B">
      <w:r>
        <w:separator/>
      </w:r>
    </w:p>
    <w:p w14:paraId="5F550E8A" w14:textId="77777777" w:rsidR="00924D97" w:rsidRDefault="00924D97"/>
  </w:footnote>
  <w:footnote w:type="continuationSeparator" w:id="0">
    <w:p w14:paraId="07266F88" w14:textId="77777777" w:rsidR="00924D97" w:rsidRDefault="00924D97" w:rsidP="006A5F3B">
      <w:r>
        <w:continuationSeparator/>
      </w:r>
    </w:p>
    <w:p w14:paraId="68915A18" w14:textId="77777777" w:rsidR="00924D97" w:rsidRDefault="00924D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05CF"/>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28A5"/>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03A2"/>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632"/>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4D97"/>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4F34"/>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24D28"/>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07496"/>
    <w:rsid w:val="00F217F3"/>
    <w:rsid w:val="00F23B97"/>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761"/>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2539307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9669533">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8858-57A5-43B5-9948-6D8E32F2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2018-12-05T09:44:00Z</dcterms:created>
  <dcterms:modified xsi:type="dcterms:W3CDTF">2020-03-18T08:25:00Z</dcterms:modified>
</cp:coreProperties>
</file>