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3A" w:rsidRPr="003D2E3A" w:rsidRDefault="003D2E3A" w:rsidP="003D2E3A">
      <w:pPr>
        <w:jc w:val="right"/>
        <w:rPr>
          <w:rFonts w:ascii="ＭＳ ゴシック" w:eastAsia="ＭＳ ゴシック" w:hAnsi="ＭＳ ゴシック"/>
          <w:sz w:val="24"/>
          <w:szCs w:val="24"/>
          <w:bdr w:val="single" w:sz="4" w:space="0" w:color="auto"/>
        </w:rPr>
      </w:pPr>
      <w:r w:rsidRPr="003D2E3A">
        <w:rPr>
          <w:rFonts w:ascii="ＭＳ ゴシック" w:eastAsia="ＭＳ ゴシック" w:hAnsi="ＭＳ ゴシック" w:hint="eastAsia"/>
          <w:sz w:val="24"/>
          <w:szCs w:val="24"/>
          <w:bdr w:val="single" w:sz="4" w:space="0" w:color="auto"/>
        </w:rPr>
        <w:t>参考資料</w:t>
      </w:r>
      <w:r w:rsidR="00CA5B5F">
        <w:rPr>
          <w:rFonts w:ascii="ＭＳ ゴシック" w:eastAsia="ＭＳ ゴシック" w:hAnsi="ＭＳ ゴシック" w:hint="eastAsia"/>
          <w:sz w:val="24"/>
          <w:szCs w:val="24"/>
          <w:bdr w:val="single" w:sz="4" w:space="0" w:color="auto"/>
        </w:rPr>
        <w:t>８</w:t>
      </w:r>
      <w:bookmarkStart w:id="0" w:name="_GoBack"/>
      <w:bookmarkEnd w:id="0"/>
    </w:p>
    <w:p w:rsidR="003D2E3A" w:rsidRPr="003D2E3A" w:rsidRDefault="003D2E3A" w:rsidP="003D2E3A">
      <w:pPr>
        <w:jc w:val="center"/>
        <w:rPr>
          <w:rFonts w:ascii="ＭＳ ゴシック" w:eastAsia="ＭＳ ゴシック" w:hAnsi="ＭＳ ゴシック"/>
          <w:sz w:val="24"/>
          <w:szCs w:val="24"/>
        </w:rPr>
      </w:pPr>
    </w:p>
    <w:p w:rsidR="003D2E3A" w:rsidRPr="003D2E3A" w:rsidRDefault="003D2E3A" w:rsidP="003D2E3A">
      <w:pPr>
        <w:jc w:val="center"/>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建築基準法（昭和25年法律第201号）</w:t>
      </w:r>
    </w:p>
    <w:p w:rsidR="003D2E3A" w:rsidRDefault="003D2E3A">
      <w:pPr>
        <w:rPr>
          <w:rFonts w:ascii="ＭＳ ゴシック" w:eastAsia="ＭＳ ゴシック" w:hAnsi="ＭＳ ゴシック"/>
          <w:sz w:val="24"/>
          <w:szCs w:val="24"/>
        </w:rPr>
      </w:pPr>
    </w:p>
    <w:p w:rsidR="00BF2B79" w:rsidRDefault="003E6DB3" w:rsidP="003E6DB3">
      <w:pPr>
        <w:ind w:firstLineChars="100" w:firstLine="240"/>
        <w:rPr>
          <w:rFonts w:ascii="ＭＳ ゴシック" w:eastAsia="ＭＳ ゴシック" w:hAnsi="ＭＳ ゴシック"/>
          <w:sz w:val="24"/>
          <w:szCs w:val="24"/>
        </w:rPr>
      </w:pPr>
      <w:r w:rsidRPr="003E6DB3">
        <w:rPr>
          <w:rFonts w:ascii="ＭＳ ゴシック" w:eastAsia="ＭＳ ゴシック" w:hAnsi="ＭＳ ゴシック" w:hint="eastAsia"/>
          <w:sz w:val="24"/>
          <w:szCs w:val="24"/>
        </w:rPr>
        <w:t>（用語の定義）</w:t>
      </w:r>
    </w:p>
    <w:p w:rsidR="00BF2B79" w:rsidRPr="00BF2B79" w:rsidRDefault="00BF2B79" w:rsidP="003E6DB3">
      <w:pPr>
        <w:ind w:left="24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第二条　この法律において次の各号に掲げる用語の意義は、それぞれ当該各号に定めるところによる。</w:t>
      </w:r>
    </w:p>
    <w:p w:rsidR="00BF2B79" w:rsidRP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一　建築物　土地に定着する工作物のうち、屋根及び柱若しくは壁を有するもの（これに類する構造のものを含む。）、これに附属する門若しくは塀、観覧のための工作物又は地下若しくは高架の工作物内に設ける事務所、店舗、興行場、倉庫その他これらに類する施設（鉄道及び軌道の線路敷地内の運転保安に関する施設並びに跨（こ）線橋、プラットホームの上家、貯蔵槽その他これらに類する施設を除く。）をいい、建築設備を含むものとする。</w:t>
      </w:r>
    </w:p>
    <w:p w:rsidR="00BF2B79" w:rsidRP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二　特殊建築物　学校（専修学校及び各種学校を含む。以下同様とする。）、体育館、病院、劇場、観覧場、集会場、展示場、百貨店、市場、ダンスホール、遊技場、公衆浴場、旅館、共同住宅、寄宿舎、下宿、工場、倉庫、自動車車庫、危険物の貯蔵場、と畜場、火葬場、汚物処理場その他これらに類する用途に供する建築物をいう。</w:t>
      </w:r>
    </w:p>
    <w:p w:rsidR="00BF2B79" w:rsidRP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三　建築設備　建築物に設ける電気、ガス、給水、排水、換気、暖房、冷房、消火、排煙若しくは汚物処理の設備又は煙突、昇降機若しくは避雷針をいう。</w:t>
      </w:r>
    </w:p>
    <w:p w:rsidR="00BF2B79" w:rsidRPr="00BF2B79" w:rsidRDefault="00BF2B79" w:rsidP="00BF2B79">
      <w:pPr>
        <w:rPr>
          <w:rFonts w:ascii="ＭＳ ゴシック" w:eastAsia="ＭＳ ゴシック" w:hAnsi="ＭＳ ゴシック"/>
          <w:sz w:val="24"/>
          <w:szCs w:val="24"/>
        </w:rPr>
      </w:pPr>
    </w:p>
    <w:p w:rsidR="00BF2B79" w:rsidRP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五　主要構造部　壁、柱、床、はり、屋根又は階段をいい、建築物の構造上重要でない間仕切壁、間柱、付け柱、揚げ床、最下階の床、回り舞台の床、小ばり、ひさし、局部的な小階段、屋外階段その他これらに類する建築物の部分を除くものとする。</w:t>
      </w:r>
    </w:p>
    <w:p w:rsidR="00BF2B79" w:rsidRPr="00BF2B79" w:rsidRDefault="00BF2B79" w:rsidP="00BF2B79">
      <w:pPr>
        <w:rPr>
          <w:rFonts w:ascii="ＭＳ ゴシック" w:eastAsia="ＭＳ ゴシック" w:hAnsi="ＭＳ ゴシック"/>
          <w:sz w:val="24"/>
          <w:szCs w:val="24"/>
        </w:rPr>
      </w:pPr>
    </w:p>
    <w:p w:rsidR="00BF2B79" w:rsidRPr="00BF2B79" w:rsidRDefault="00BF2B79" w:rsidP="003E6DB3">
      <w:pPr>
        <w:ind w:firstLineChars="100" w:firstLine="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十三　建築　建築物を新築し、増築し、改築し、又は移転することをいう。</w:t>
      </w:r>
    </w:p>
    <w:p w:rsidR="00BF2B79" w:rsidRP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十四　大規模の修繕　建築物の主要構造部の一種以上について行う過半の修繕をいう。</w:t>
      </w:r>
    </w:p>
    <w:p w:rsidR="00BF2B79" w:rsidRDefault="00BF2B79" w:rsidP="003E6DB3">
      <w:pPr>
        <w:ind w:leftChars="100" w:left="450" w:hangingChars="100" w:hanging="240"/>
        <w:rPr>
          <w:rFonts w:ascii="ＭＳ ゴシック" w:eastAsia="ＭＳ ゴシック" w:hAnsi="ＭＳ ゴシック"/>
          <w:sz w:val="24"/>
          <w:szCs w:val="24"/>
        </w:rPr>
      </w:pPr>
      <w:r w:rsidRPr="00BF2B79">
        <w:rPr>
          <w:rFonts w:ascii="ＭＳ ゴシック" w:eastAsia="ＭＳ ゴシック" w:hAnsi="ＭＳ ゴシック" w:hint="eastAsia"/>
          <w:sz w:val="24"/>
          <w:szCs w:val="24"/>
        </w:rPr>
        <w:t>十五　大規模の模様替　建築物の主要構造部の一種以上について行う過半の模様替をいう。</w:t>
      </w:r>
    </w:p>
    <w:p w:rsidR="003E6DB3" w:rsidRPr="003D2E3A" w:rsidRDefault="003E6DB3" w:rsidP="003E6DB3">
      <w:pPr>
        <w:ind w:leftChars="100" w:left="450" w:hangingChars="100" w:hanging="240"/>
        <w:rPr>
          <w:rFonts w:ascii="ＭＳ ゴシック" w:eastAsia="ＭＳ ゴシック" w:hAnsi="ＭＳ ゴシック"/>
          <w:sz w:val="24"/>
          <w:szCs w:val="24"/>
        </w:rPr>
      </w:pPr>
    </w:p>
    <w:p w:rsidR="003D2E3A" w:rsidRPr="003D2E3A" w:rsidRDefault="003D2E3A" w:rsidP="003D2E3A">
      <w:pPr>
        <w:ind w:firstLineChars="100" w:firstLine="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（建築物の建築等に関する申請及び確認）</w:t>
      </w:r>
    </w:p>
    <w:p w:rsidR="003D2E3A" w:rsidRPr="003D2E3A" w:rsidRDefault="003D2E3A" w:rsidP="003D2E3A">
      <w:pPr>
        <w:ind w:left="24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第六条　建築主は、第一号から第三号までに掲げる建築物を建築しようとする場合（増築しようとする場合においては、建築物が増築後において第一号から第三号までに掲げる規模のものとなる場合を含む。）、これらの建築物の大規模の修繕若しくは大規模の模様替をしようとする場合又は第四号に掲げる建築物を建築しようとする場合においては、当該工事に着手する前に、その計画</w:t>
      </w:r>
      <w:r w:rsidRPr="003D2E3A">
        <w:rPr>
          <w:rFonts w:ascii="ＭＳ ゴシック" w:eastAsia="ＭＳ ゴシック" w:hAnsi="ＭＳ ゴシック" w:hint="eastAsia"/>
          <w:sz w:val="24"/>
          <w:szCs w:val="24"/>
        </w:rPr>
        <w:lastRenderedPageBreak/>
        <w:t>が建築基準関係規定（この法律並びにこれに基づく命令及び条例の規定（以下「建築基準法令の規定」という。）その他建築物の敷地、構造又は建築設備に関する法律並びにこれに基づく命令及び条例の規定で政令で定めるものをいう。以下同じ。）に適合するものであることについて、確認の申請書を提出して建築主事の確認を受け、確認済証の交付を受けなければならない。当該確認を受けた建築物の計画の変更（国土交通省令で定める軽微な変更を除く。）をして、第一号から第三号までに掲げる建築物を建築しようとする場合（増築しようとする場合においては、建築物が増築後において第一号から第三号までに掲げる規模のものとなる場合を含む。）、これらの建築物の大規模の修繕若しくは大規模の模様替をしようとする場合又は第四号に掲げる建築物を建築しようとする場合も、同様とする。</w:t>
      </w:r>
    </w:p>
    <w:p w:rsidR="003D2E3A" w:rsidRPr="003D2E3A" w:rsidRDefault="003D2E3A" w:rsidP="003D2E3A">
      <w:pPr>
        <w:ind w:leftChars="100" w:left="45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一　別表第一（い）欄に掲げる用途に供する特殊建築物で、その用途に供する部分の床面積の合計が百平方メートルを超えるもの</w:t>
      </w:r>
    </w:p>
    <w:p w:rsidR="003D2E3A" w:rsidRPr="003D2E3A" w:rsidRDefault="003D2E3A" w:rsidP="003D2E3A">
      <w:pPr>
        <w:ind w:leftChars="100" w:left="45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二　木造の建築物で三以上の階数を有し、又は延べ面積が五百平方メートル、高さが十三メートル若しくは軒の高さが九メートルを超えるもの</w:t>
      </w:r>
    </w:p>
    <w:p w:rsidR="003D2E3A" w:rsidRPr="003D2E3A" w:rsidRDefault="003D2E3A" w:rsidP="003D2E3A">
      <w:pPr>
        <w:ind w:leftChars="100" w:left="45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三　木造以外の建築物で二以上の階数を有し、又は延べ面積が二百平方メートルを超えるもの</w:t>
      </w:r>
    </w:p>
    <w:p w:rsidR="003D2E3A" w:rsidRPr="003D2E3A" w:rsidRDefault="003D2E3A" w:rsidP="003D2E3A">
      <w:pPr>
        <w:ind w:leftChars="100" w:left="45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四　前三号に掲げる建築物を除くほか、都市計画区域若しくは準都市計画区域（いずれも都道府県知事が都道府県都市計画審議会の意見を聴いて指定する区域を除く。）若しくは景観法（平成十六年法律第百十号）第七十四条第一項の準景観地区（市町村長が指定する区域を除く。）内又は都道府県知事が関係市町村の意見を聴いてその区域の全部若しくは一部について指定する区域内における建築物</w:t>
      </w:r>
    </w:p>
    <w:p w:rsidR="003D2E3A" w:rsidRPr="003D2E3A" w:rsidRDefault="003D2E3A" w:rsidP="003D2E3A">
      <w:pPr>
        <w:ind w:left="24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２　前項の規定は、防火地域及び準防火地域外において建築物を増築し、改築し、又は移転しようとする場合で、その増築、改築又は移転に係る部分の床面積の合計が十平方メートル以内であるときについては、適用しない。</w:t>
      </w:r>
    </w:p>
    <w:p w:rsidR="003D2E3A" w:rsidRPr="003D2E3A" w:rsidRDefault="003D2E3A" w:rsidP="003D2E3A">
      <w:pPr>
        <w:ind w:left="24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t>３～　（略）</w:t>
      </w:r>
    </w:p>
    <w:p w:rsidR="003D2E3A" w:rsidRPr="003D2E3A" w:rsidRDefault="003D2E3A">
      <w:pPr>
        <w:widowControl/>
        <w:jc w:val="left"/>
        <w:rPr>
          <w:rFonts w:ascii="ＭＳ ゴシック" w:eastAsia="ＭＳ ゴシック" w:hAnsi="ＭＳ ゴシック"/>
          <w:sz w:val="24"/>
          <w:szCs w:val="24"/>
        </w:rPr>
      </w:pPr>
      <w:r w:rsidRPr="003D2E3A">
        <w:rPr>
          <w:rFonts w:ascii="ＭＳ ゴシック" w:eastAsia="ＭＳ ゴシック" w:hAnsi="ＭＳ ゴシック"/>
          <w:sz w:val="24"/>
          <w:szCs w:val="24"/>
        </w:rPr>
        <w:br w:type="page"/>
      </w:r>
    </w:p>
    <w:p w:rsidR="003D2E3A" w:rsidRPr="003D2E3A" w:rsidRDefault="003D2E3A" w:rsidP="003D2E3A">
      <w:pPr>
        <w:ind w:left="240" w:hangingChars="100" w:hanging="240"/>
        <w:rPr>
          <w:rFonts w:ascii="ＭＳ ゴシック" w:eastAsia="ＭＳ ゴシック" w:hAnsi="ＭＳ ゴシック"/>
          <w:sz w:val="24"/>
          <w:szCs w:val="24"/>
        </w:rPr>
        <w:sectPr w:rsidR="003D2E3A" w:rsidRPr="003D2E3A" w:rsidSect="003D2E3A">
          <w:pgSz w:w="11906" w:h="16838"/>
          <w:pgMar w:top="1134" w:right="1701" w:bottom="1701" w:left="1701" w:header="851" w:footer="992" w:gutter="0"/>
          <w:cols w:space="425"/>
          <w:docGrid w:type="lines" w:linePitch="360"/>
        </w:sectPr>
      </w:pPr>
    </w:p>
    <w:p w:rsidR="003D2E3A" w:rsidRPr="003D2E3A" w:rsidRDefault="003D2E3A" w:rsidP="003D2E3A">
      <w:pPr>
        <w:ind w:left="240" w:hangingChars="100" w:hanging="240"/>
        <w:rPr>
          <w:rFonts w:ascii="ＭＳ ゴシック" w:eastAsia="ＭＳ ゴシック" w:hAnsi="ＭＳ ゴシック"/>
          <w:sz w:val="24"/>
          <w:szCs w:val="24"/>
        </w:rPr>
      </w:pPr>
      <w:r w:rsidRPr="003D2E3A">
        <w:rPr>
          <w:rFonts w:ascii="ＭＳ ゴシック" w:eastAsia="ＭＳ ゴシック" w:hAnsi="ＭＳ ゴシック" w:hint="eastAsia"/>
          <w:sz w:val="24"/>
          <w:szCs w:val="24"/>
        </w:rPr>
        <w:lastRenderedPageBreak/>
        <w:t>別表第一　耐火建築物等としなければならない特殊建築物（第六条、第二十七条、第二十八条、第三十五条―第三十五条の三、第九十条の三関係）</w:t>
      </w:r>
    </w:p>
    <w:p w:rsidR="003D2E3A" w:rsidRPr="003D2E3A" w:rsidRDefault="003D2E3A" w:rsidP="003D2E3A">
      <w:pPr>
        <w:ind w:left="240" w:hangingChars="100" w:hanging="240"/>
        <w:rPr>
          <w:rFonts w:ascii="ＭＳ ゴシック" w:eastAsia="ＭＳ ゴシック" w:hAnsi="ＭＳ ゴシック"/>
          <w:sz w:val="24"/>
          <w:szCs w:val="24"/>
        </w:rPr>
      </w:pPr>
    </w:p>
    <w:tbl>
      <w:tblPr>
        <w:tblStyle w:val="a3"/>
        <w:tblW w:w="0" w:type="auto"/>
        <w:tblInd w:w="137" w:type="dxa"/>
        <w:tblLayout w:type="fixed"/>
        <w:tblLook w:val="04A0" w:firstRow="1" w:lastRow="0" w:firstColumn="1" w:lastColumn="0" w:noHBand="0" w:noVBand="1"/>
      </w:tblPr>
      <w:tblGrid>
        <w:gridCol w:w="851"/>
        <w:gridCol w:w="4961"/>
        <w:gridCol w:w="1843"/>
        <w:gridCol w:w="4819"/>
        <w:gridCol w:w="1559"/>
      </w:tblGrid>
      <w:tr w:rsidR="003D2E3A" w:rsidRPr="003D2E3A" w:rsidTr="003D2E3A">
        <w:tc>
          <w:tcPr>
            <w:tcW w:w="851" w:type="dxa"/>
            <w:vAlign w:val="center"/>
          </w:tcPr>
          <w:p w:rsidR="003D2E3A" w:rsidRPr="003D2E3A" w:rsidRDefault="003D2E3A" w:rsidP="003D2E3A">
            <w:pPr>
              <w:widowControl/>
              <w:jc w:val="left"/>
              <w:rPr>
                <w:rFonts w:ascii="ＭＳ ゴシック" w:eastAsia="ＭＳ ゴシック" w:hAnsi="ＭＳ ゴシック"/>
                <w:sz w:val="24"/>
                <w:szCs w:val="24"/>
              </w:rPr>
            </w:pPr>
          </w:p>
        </w:tc>
        <w:tc>
          <w:tcPr>
            <w:tcW w:w="4961" w:type="dxa"/>
            <w:vAlign w:val="center"/>
          </w:tcPr>
          <w:p w:rsidR="003D2E3A" w:rsidRPr="003D2E3A" w:rsidRDefault="003D2E3A" w:rsidP="003D2E3A">
            <w:pPr>
              <w:divId w:val="1178302658"/>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（い）</w:t>
            </w:r>
          </w:p>
        </w:tc>
        <w:tc>
          <w:tcPr>
            <w:tcW w:w="1843" w:type="dxa"/>
            <w:vAlign w:val="center"/>
          </w:tcPr>
          <w:p w:rsidR="003D2E3A" w:rsidRPr="003D2E3A" w:rsidRDefault="003D2E3A" w:rsidP="003D2E3A">
            <w:pPr>
              <w:divId w:val="1427920776"/>
              <w:rPr>
                <w:rFonts w:ascii="ＭＳ ゴシック" w:eastAsia="ＭＳ ゴシック" w:hAnsi="ＭＳ ゴシック"/>
                <w:sz w:val="24"/>
                <w:szCs w:val="24"/>
              </w:rPr>
            </w:pPr>
            <w:r w:rsidRPr="003D2E3A">
              <w:rPr>
                <w:rFonts w:ascii="ＭＳ ゴシック" w:eastAsia="ＭＳ ゴシック" w:hAnsi="ＭＳ ゴシック"/>
                <w:sz w:val="24"/>
                <w:szCs w:val="24"/>
              </w:rPr>
              <w:t>（ろ）</w:t>
            </w:r>
          </w:p>
        </w:tc>
        <w:tc>
          <w:tcPr>
            <w:tcW w:w="4819" w:type="dxa"/>
            <w:vAlign w:val="center"/>
          </w:tcPr>
          <w:p w:rsidR="003D2E3A" w:rsidRPr="003D2E3A" w:rsidRDefault="003D2E3A" w:rsidP="003D2E3A">
            <w:pPr>
              <w:divId w:val="319308990"/>
              <w:rPr>
                <w:rFonts w:ascii="ＭＳ ゴシック" w:eastAsia="ＭＳ ゴシック" w:hAnsi="ＭＳ ゴシック"/>
                <w:sz w:val="24"/>
                <w:szCs w:val="24"/>
              </w:rPr>
            </w:pPr>
            <w:r w:rsidRPr="003D2E3A">
              <w:rPr>
                <w:rFonts w:ascii="ＭＳ ゴシック" w:eastAsia="ＭＳ ゴシック" w:hAnsi="ＭＳ ゴシック"/>
                <w:sz w:val="24"/>
                <w:szCs w:val="24"/>
              </w:rPr>
              <w:t>（は）</w:t>
            </w:r>
          </w:p>
        </w:tc>
        <w:tc>
          <w:tcPr>
            <w:tcW w:w="1559" w:type="dxa"/>
            <w:vAlign w:val="center"/>
          </w:tcPr>
          <w:p w:rsidR="003D2E3A" w:rsidRPr="003D2E3A" w:rsidRDefault="003D2E3A" w:rsidP="003D2E3A">
            <w:pPr>
              <w:divId w:val="1260874466"/>
              <w:rPr>
                <w:rFonts w:ascii="ＭＳ ゴシック" w:eastAsia="ＭＳ ゴシック" w:hAnsi="ＭＳ ゴシック"/>
                <w:sz w:val="24"/>
                <w:szCs w:val="24"/>
              </w:rPr>
            </w:pPr>
            <w:r w:rsidRPr="003D2E3A">
              <w:rPr>
                <w:rFonts w:ascii="ＭＳ ゴシック" w:eastAsia="ＭＳ ゴシック" w:hAnsi="ＭＳ ゴシック"/>
                <w:sz w:val="24"/>
                <w:szCs w:val="24"/>
              </w:rPr>
              <w:t>（に）</w:t>
            </w:r>
          </w:p>
        </w:tc>
      </w:tr>
      <w:tr w:rsidR="003D2E3A" w:rsidRPr="003D2E3A" w:rsidTr="003D2E3A">
        <w:tc>
          <w:tcPr>
            <w:tcW w:w="851" w:type="dxa"/>
            <w:vAlign w:val="center"/>
          </w:tcPr>
          <w:p w:rsidR="003D2E3A" w:rsidRPr="003D2E3A" w:rsidRDefault="003D2E3A" w:rsidP="003D2E3A">
            <w:pPr>
              <w:rPr>
                <w:rFonts w:ascii="ＭＳ ゴシック" w:eastAsia="ＭＳ ゴシック" w:hAnsi="ＭＳ ゴシック"/>
                <w:sz w:val="24"/>
                <w:szCs w:val="24"/>
              </w:rPr>
            </w:pPr>
          </w:p>
        </w:tc>
        <w:tc>
          <w:tcPr>
            <w:tcW w:w="4961" w:type="dxa"/>
            <w:vAlign w:val="center"/>
          </w:tcPr>
          <w:p w:rsidR="003D2E3A" w:rsidRPr="003D2E3A" w:rsidRDefault="003D2E3A" w:rsidP="003D2E3A">
            <w:pPr>
              <w:divId w:val="146628071"/>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用途</w:t>
            </w:r>
          </w:p>
        </w:tc>
        <w:tc>
          <w:tcPr>
            <w:tcW w:w="1843" w:type="dxa"/>
            <w:vAlign w:val="center"/>
          </w:tcPr>
          <w:p w:rsidR="003D2E3A" w:rsidRPr="003D2E3A" w:rsidRDefault="003D2E3A" w:rsidP="003D2E3A">
            <w:pPr>
              <w:divId w:val="263537703"/>
              <w:rPr>
                <w:rFonts w:ascii="ＭＳ ゴシック" w:eastAsia="ＭＳ ゴシック" w:hAnsi="ＭＳ ゴシック"/>
                <w:sz w:val="24"/>
                <w:szCs w:val="24"/>
              </w:rPr>
            </w:pPr>
            <w:r w:rsidRPr="003D2E3A">
              <w:rPr>
                <w:rFonts w:ascii="ＭＳ ゴシック" w:eastAsia="ＭＳ ゴシック" w:hAnsi="ＭＳ ゴシック"/>
                <w:sz w:val="24"/>
                <w:szCs w:val="24"/>
              </w:rPr>
              <w:t>（い）欄の用途に供する階</w:t>
            </w:r>
          </w:p>
        </w:tc>
        <w:tc>
          <w:tcPr>
            <w:tcW w:w="4819" w:type="dxa"/>
            <w:vAlign w:val="center"/>
          </w:tcPr>
          <w:p w:rsidR="003D2E3A" w:rsidRPr="003D2E3A" w:rsidRDefault="003D2E3A" w:rsidP="003D2E3A">
            <w:pPr>
              <w:divId w:val="598029915"/>
              <w:rPr>
                <w:rFonts w:ascii="ＭＳ ゴシック" w:eastAsia="ＭＳ ゴシック" w:hAnsi="ＭＳ ゴシック"/>
                <w:sz w:val="24"/>
                <w:szCs w:val="24"/>
              </w:rPr>
            </w:pPr>
            <w:r w:rsidRPr="003D2E3A">
              <w:rPr>
                <w:rFonts w:ascii="ＭＳ ゴシック" w:eastAsia="ＭＳ ゴシック" w:hAnsi="ＭＳ ゴシック"/>
                <w:sz w:val="24"/>
                <w:szCs w:val="24"/>
              </w:rPr>
              <w:t>（い）欄の用途に供する部分（（一）項の場合にあつては客席、（二）項及び（四）項の場合にあつては二階、（五）項の場合にあつては三階以上の部分に限り、かつ、病院及び診療所についてはその部分に患者の収容施設がある場合に限る。）の床面積の合計</w:t>
            </w:r>
          </w:p>
        </w:tc>
        <w:tc>
          <w:tcPr>
            <w:tcW w:w="1559" w:type="dxa"/>
            <w:vAlign w:val="center"/>
          </w:tcPr>
          <w:p w:rsidR="003D2E3A" w:rsidRPr="003D2E3A" w:rsidRDefault="003D2E3A" w:rsidP="003D2E3A">
            <w:pPr>
              <w:divId w:val="1781872369"/>
              <w:rPr>
                <w:rFonts w:ascii="ＭＳ ゴシック" w:eastAsia="ＭＳ ゴシック" w:hAnsi="ＭＳ ゴシック"/>
                <w:sz w:val="24"/>
                <w:szCs w:val="24"/>
              </w:rPr>
            </w:pPr>
            <w:r w:rsidRPr="003D2E3A">
              <w:rPr>
                <w:rFonts w:ascii="ＭＳ ゴシック" w:eastAsia="ＭＳ ゴシック" w:hAnsi="ＭＳ ゴシック"/>
                <w:sz w:val="24"/>
                <w:szCs w:val="24"/>
              </w:rPr>
              <w:t>（い）欄の用途に供する部分の床面積の合計</w:t>
            </w:r>
          </w:p>
        </w:tc>
      </w:tr>
      <w:tr w:rsidR="003D2E3A" w:rsidRPr="003D2E3A" w:rsidTr="003D2E3A">
        <w:tc>
          <w:tcPr>
            <w:tcW w:w="851" w:type="dxa"/>
            <w:vAlign w:val="center"/>
          </w:tcPr>
          <w:p w:rsidR="003D2E3A" w:rsidRPr="003D2E3A" w:rsidRDefault="003D2E3A" w:rsidP="003D2E3A">
            <w:pPr>
              <w:divId w:val="1319378730"/>
              <w:rPr>
                <w:rFonts w:ascii="ＭＳ ゴシック" w:eastAsia="ＭＳ ゴシック" w:hAnsi="ＭＳ ゴシック"/>
                <w:sz w:val="24"/>
                <w:szCs w:val="24"/>
              </w:rPr>
            </w:pPr>
            <w:r w:rsidRPr="003D2E3A">
              <w:rPr>
                <w:rFonts w:ascii="ＭＳ ゴシック" w:eastAsia="ＭＳ ゴシック" w:hAnsi="ＭＳ ゴシック"/>
                <w:sz w:val="24"/>
                <w:szCs w:val="24"/>
              </w:rPr>
              <w:t>（一）</w:t>
            </w:r>
          </w:p>
        </w:tc>
        <w:tc>
          <w:tcPr>
            <w:tcW w:w="4961" w:type="dxa"/>
            <w:vAlign w:val="center"/>
          </w:tcPr>
          <w:p w:rsidR="003D2E3A" w:rsidRPr="003D2E3A" w:rsidRDefault="003D2E3A" w:rsidP="003D2E3A">
            <w:pPr>
              <w:divId w:val="610942349"/>
              <w:rPr>
                <w:rFonts w:ascii="ＭＳ ゴシック" w:eastAsia="ＭＳ ゴシック" w:hAnsi="ＭＳ ゴシック"/>
                <w:sz w:val="24"/>
                <w:szCs w:val="24"/>
              </w:rPr>
            </w:pPr>
            <w:r w:rsidRPr="003D2E3A">
              <w:rPr>
                <w:rFonts w:ascii="ＭＳ ゴシック" w:eastAsia="ＭＳ ゴシック" w:hAnsi="ＭＳ ゴシック"/>
                <w:sz w:val="24"/>
                <w:szCs w:val="24"/>
              </w:rPr>
              <w:t>劇場、映画館、演芸場、観覧場、公会堂、集会場その他これらに類するもので政令で定めるもの</w:t>
            </w:r>
          </w:p>
        </w:tc>
        <w:tc>
          <w:tcPr>
            <w:tcW w:w="1843" w:type="dxa"/>
            <w:vAlign w:val="center"/>
          </w:tcPr>
          <w:p w:rsidR="003D2E3A" w:rsidRPr="003D2E3A" w:rsidRDefault="003D2E3A" w:rsidP="003D2E3A">
            <w:pPr>
              <w:divId w:val="1654484696"/>
              <w:rPr>
                <w:rFonts w:ascii="ＭＳ ゴシック" w:eastAsia="ＭＳ ゴシック" w:hAnsi="ＭＳ ゴシック"/>
                <w:sz w:val="24"/>
                <w:szCs w:val="24"/>
              </w:rPr>
            </w:pPr>
            <w:r w:rsidRPr="003D2E3A">
              <w:rPr>
                <w:rFonts w:ascii="ＭＳ ゴシック" w:eastAsia="ＭＳ ゴシック" w:hAnsi="ＭＳ ゴシック"/>
                <w:sz w:val="24"/>
                <w:szCs w:val="24"/>
              </w:rPr>
              <w:t>三階以上の階</w:t>
            </w:r>
          </w:p>
        </w:tc>
        <w:tc>
          <w:tcPr>
            <w:tcW w:w="4819" w:type="dxa"/>
            <w:vAlign w:val="center"/>
          </w:tcPr>
          <w:p w:rsidR="003D2E3A" w:rsidRPr="003D2E3A" w:rsidRDefault="003D2E3A" w:rsidP="003D2E3A">
            <w:pPr>
              <w:divId w:val="1939827049"/>
              <w:rPr>
                <w:rFonts w:ascii="ＭＳ ゴシック" w:eastAsia="ＭＳ ゴシック" w:hAnsi="ＭＳ ゴシック"/>
                <w:sz w:val="24"/>
                <w:szCs w:val="24"/>
              </w:rPr>
            </w:pPr>
            <w:r w:rsidRPr="003D2E3A">
              <w:rPr>
                <w:rFonts w:ascii="ＭＳ ゴシック" w:eastAsia="ＭＳ ゴシック" w:hAnsi="ＭＳ ゴシック"/>
                <w:sz w:val="24"/>
                <w:szCs w:val="24"/>
              </w:rPr>
              <w:t>二百平方メートル（屋外観覧席にあつては、千平方メートル）以上</w:t>
            </w:r>
          </w:p>
        </w:tc>
        <w:tc>
          <w:tcPr>
            <w:tcW w:w="1559" w:type="dxa"/>
            <w:vAlign w:val="center"/>
          </w:tcPr>
          <w:p w:rsidR="003D2E3A" w:rsidRPr="003D2E3A" w:rsidRDefault="003D2E3A" w:rsidP="003D2E3A">
            <w:pPr>
              <w:rPr>
                <w:rFonts w:ascii="ＭＳ ゴシック" w:eastAsia="ＭＳ ゴシック" w:hAnsi="ＭＳ ゴシック"/>
                <w:sz w:val="24"/>
                <w:szCs w:val="24"/>
              </w:rPr>
            </w:pPr>
          </w:p>
        </w:tc>
      </w:tr>
      <w:tr w:rsidR="003D2E3A" w:rsidRPr="003D2E3A" w:rsidTr="003D2E3A">
        <w:tc>
          <w:tcPr>
            <w:tcW w:w="851" w:type="dxa"/>
            <w:vAlign w:val="center"/>
          </w:tcPr>
          <w:p w:rsidR="003D2E3A" w:rsidRPr="003D2E3A" w:rsidRDefault="003D2E3A" w:rsidP="003D2E3A">
            <w:pPr>
              <w:divId w:val="14623255"/>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（二）</w:t>
            </w:r>
          </w:p>
        </w:tc>
        <w:tc>
          <w:tcPr>
            <w:tcW w:w="4961" w:type="dxa"/>
            <w:vAlign w:val="center"/>
          </w:tcPr>
          <w:p w:rsidR="003D2E3A" w:rsidRPr="003D2E3A" w:rsidRDefault="003D2E3A" w:rsidP="003D2E3A">
            <w:pPr>
              <w:divId w:val="1628968791"/>
              <w:rPr>
                <w:rFonts w:ascii="ＭＳ ゴシック" w:eastAsia="ＭＳ ゴシック" w:hAnsi="ＭＳ ゴシック"/>
                <w:sz w:val="24"/>
                <w:szCs w:val="24"/>
              </w:rPr>
            </w:pPr>
            <w:r w:rsidRPr="003D2E3A">
              <w:rPr>
                <w:rFonts w:ascii="ＭＳ ゴシック" w:eastAsia="ＭＳ ゴシック" w:hAnsi="ＭＳ ゴシック"/>
                <w:sz w:val="24"/>
                <w:szCs w:val="24"/>
              </w:rPr>
              <w:t>病院、診療所（患者の収容施設があるものに限る。）、ホテル、旅館、下宿、共同住宅、寄宿舎その他これらに類するもので政令で定めるもの</w:t>
            </w:r>
          </w:p>
        </w:tc>
        <w:tc>
          <w:tcPr>
            <w:tcW w:w="1843" w:type="dxa"/>
            <w:vAlign w:val="center"/>
          </w:tcPr>
          <w:p w:rsidR="003D2E3A" w:rsidRPr="003D2E3A" w:rsidRDefault="003D2E3A" w:rsidP="003D2E3A">
            <w:pPr>
              <w:divId w:val="1743290287"/>
              <w:rPr>
                <w:rFonts w:ascii="ＭＳ ゴシック" w:eastAsia="ＭＳ ゴシック" w:hAnsi="ＭＳ ゴシック"/>
                <w:sz w:val="24"/>
                <w:szCs w:val="24"/>
              </w:rPr>
            </w:pPr>
            <w:r w:rsidRPr="003D2E3A">
              <w:rPr>
                <w:rFonts w:ascii="ＭＳ ゴシック" w:eastAsia="ＭＳ ゴシック" w:hAnsi="ＭＳ ゴシック"/>
                <w:sz w:val="24"/>
                <w:szCs w:val="24"/>
              </w:rPr>
              <w:t>三階以上の階</w:t>
            </w:r>
          </w:p>
        </w:tc>
        <w:tc>
          <w:tcPr>
            <w:tcW w:w="4819" w:type="dxa"/>
            <w:vAlign w:val="center"/>
          </w:tcPr>
          <w:p w:rsidR="003D2E3A" w:rsidRPr="003D2E3A" w:rsidRDefault="003D2E3A" w:rsidP="003D2E3A">
            <w:pPr>
              <w:divId w:val="431560372"/>
              <w:rPr>
                <w:rFonts w:ascii="ＭＳ ゴシック" w:eastAsia="ＭＳ ゴシック" w:hAnsi="ＭＳ ゴシック"/>
                <w:sz w:val="24"/>
                <w:szCs w:val="24"/>
              </w:rPr>
            </w:pPr>
            <w:r w:rsidRPr="003D2E3A">
              <w:rPr>
                <w:rFonts w:ascii="ＭＳ ゴシック" w:eastAsia="ＭＳ ゴシック" w:hAnsi="ＭＳ ゴシック"/>
                <w:sz w:val="24"/>
                <w:szCs w:val="24"/>
              </w:rPr>
              <w:t>三百平方メートル以上</w:t>
            </w:r>
          </w:p>
        </w:tc>
        <w:tc>
          <w:tcPr>
            <w:tcW w:w="1559" w:type="dxa"/>
            <w:vAlign w:val="center"/>
          </w:tcPr>
          <w:p w:rsidR="003D2E3A" w:rsidRPr="003D2E3A" w:rsidRDefault="003D2E3A" w:rsidP="003D2E3A">
            <w:pPr>
              <w:rPr>
                <w:rFonts w:ascii="ＭＳ ゴシック" w:eastAsia="ＭＳ ゴシック" w:hAnsi="ＭＳ ゴシック"/>
                <w:sz w:val="24"/>
                <w:szCs w:val="24"/>
              </w:rPr>
            </w:pPr>
          </w:p>
        </w:tc>
      </w:tr>
      <w:tr w:rsidR="003D2E3A" w:rsidRPr="003D2E3A" w:rsidTr="003D2E3A">
        <w:tc>
          <w:tcPr>
            <w:tcW w:w="851" w:type="dxa"/>
            <w:vAlign w:val="center"/>
          </w:tcPr>
          <w:p w:rsidR="003D2E3A" w:rsidRPr="003D2E3A" w:rsidRDefault="003D2E3A" w:rsidP="003D2E3A">
            <w:pPr>
              <w:divId w:val="135725773"/>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（三）</w:t>
            </w:r>
          </w:p>
        </w:tc>
        <w:tc>
          <w:tcPr>
            <w:tcW w:w="4961" w:type="dxa"/>
            <w:vAlign w:val="center"/>
          </w:tcPr>
          <w:p w:rsidR="003D2E3A" w:rsidRPr="003D2E3A" w:rsidRDefault="003D2E3A" w:rsidP="003D2E3A">
            <w:pPr>
              <w:divId w:val="1745489233"/>
              <w:rPr>
                <w:rFonts w:ascii="ＭＳ ゴシック" w:eastAsia="ＭＳ ゴシック" w:hAnsi="ＭＳ ゴシック"/>
                <w:sz w:val="24"/>
                <w:szCs w:val="24"/>
              </w:rPr>
            </w:pPr>
            <w:r w:rsidRPr="003D2E3A">
              <w:rPr>
                <w:rFonts w:ascii="ＭＳ ゴシック" w:eastAsia="ＭＳ ゴシック" w:hAnsi="ＭＳ ゴシック"/>
                <w:sz w:val="24"/>
                <w:szCs w:val="24"/>
              </w:rPr>
              <w:t>学校、体育館その他これらに類するもので政令で定めるもの</w:t>
            </w:r>
          </w:p>
        </w:tc>
        <w:tc>
          <w:tcPr>
            <w:tcW w:w="1843" w:type="dxa"/>
            <w:vAlign w:val="center"/>
          </w:tcPr>
          <w:p w:rsidR="003D2E3A" w:rsidRPr="003D2E3A" w:rsidRDefault="003D2E3A" w:rsidP="003D2E3A">
            <w:pPr>
              <w:divId w:val="1503012201"/>
              <w:rPr>
                <w:rFonts w:ascii="ＭＳ ゴシック" w:eastAsia="ＭＳ ゴシック" w:hAnsi="ＭＳ ゴシック"/>
                <w:sz w:val="24"/>
                <w:szCs w:val="24"/>
              </w:rPr>
            </w:pPr>
            <w:r w:rsidRPr="003D2E3A">
              <w:rPr>
                <w:rFonts w:ascii="ＭＳ ゴシック" w:eastAsia="ＭＳ ゴシック" w:hAnsi="ＭＳ ゴシック"/>
                <w:sz w:val="24"/>
                <w:szCs w:val="24"/>
              </w:rPr>
              <w:t>三階以上の階</w:t>
            </w:r>
          </w:p>
        </w:tc>
        <w:tc>
          <w:tcPr>
            <w:tcW w:w="4819" w:type="dxa"/>
            <w:vAlign w:val="center"/>
          </w:tcPr>
          <w:p w:rsidR="003D2E3A" w:rsidRPr="003D2E3A" w:rsidRDefault="003D2E3A" w:rsidP="003D2E3A">
            <w:pPr>
              <w:divId w:val="909148040"/>
              <w:rPr>
                <w:rFonts w:ascii="ＭＳ ゴシック" w:eastAsia="ＭＳ ゴシック" w:hAnsi="ＭＳ ゴシック"/>
                <w:sz w:val="24"/>
                <w:szCs w:val="24"/>
              </w:rPr>
            </w:pPr>
            <w:r w:rsidRPr="003D2E3A">
              <w:rPr>
                <w:rFonts w:ascii="ＭＳ ゴシック" w:eastAsia="ＭＳ ゴシック" w:hAnsi="ＭＳ ゴシック"/>
                <w:sz w:val="24"/>
                <w:szCs w:val="24"/>
              </w:rPr>
              <w:t>二千平方メートル以上</w:t>
            </w:r>
          </w:p>
        </w:tc>
        <w:tc>
          <w:tcPr>
            <w:tcW w:w="1559" w:type="dxa"/>
            <w:vAlign w:val="center"/>
          </w:tcPr>
          <w:p w:rsidR="003D2E3A" w:rsidRPr="003D2E3A" w:rsidRDefault="003D2E3A" w:rsidP="003D2E3A">
            <w:pPr>
              <w:rPr>
                <w:rFonts w:ascii="ＭＳ ゴシック" w:eastAsia="ＭＳ ゴシック" w:hAnsi="ＭＳ ゴシック"/>
                <w:sz w:val="24"/>
                <w:szCs w:val="24"/>
              </w:rPr>
            </w:pPr>
          </w:p>
        </w:tc>
      </w:tr>
      <w:tr w:rsidR="003D2E3A" w:rsidRPr="003D2E3A" w:rsidTr="003D2E3A">
        <w:tc>
          <w:tcPr>
            <w:tcW w:w="851" w:type="dxa"/>
            <w:vAlign w:val="center"/>
          </w:tcPr>
          <w:p w:rsidR="003D2E3A" w:rsidRPr="003D2E3A" w:rsidRDefault="003D2E3A" w:rsidP="003D2E3A">
            <w:pPr>
              <w:divId w:val="852449987"/>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（四）</w:t>
            </w:r>
          </w:p>
        </w:tc>
        <w:tc>
          <w:tcPr>
            <w:tcW w:w="4961" w:type="dxa"/>
            <w:vAlign w:val="center"/>
          </w:tcPr>
          <w:p w:rsidR="003D2E3A" w:rsidRPr="003D2E3A" w:rsidRDefault="003D2E3A" w:rsidP="003D2E3A">
            <w:pPr>
              <w:divId w:val="124206160"/>
              <w:rPr>
                <w:rFonts w:ascii="ＭＳ ゴシック" w:eastAsia="ＭＳ ゴシック" w:hAnsi="ＭＳ ゴシック"/>
                <w:sz w:val="24"/>
                <w:szCs w:val="24"/>
              </w:rPr>
            </w:pPr>
            <w:r w:rsidRPr="003D2E3A">
              <w:rPr>
                <w:rFonts w:ascii="ＭＳ ゴシック" w:eastAsia="ＭＳ ゴシック" w:hAnsi="ＭＳ ゴシック"/>
                <w:sz w:val="24"/>
                <w:szCs w:val="24"/>
              </w:rPr>
              <w:t>百貨店、マーケット、展示場、キャバレー、カフェー、ナイトクラブ、バー、ダンスホール、遊技場その他これらに類するもので政令で定めるもの</w:t>
            </w:r>
          </w:p>
        </w:tc>
        <w:tc>
          <w:tcPr>
            <w:tcW w:w="1843" w:type="dxa"/>
            <w:vAlign w:val="center"/>
          </w:tcPr>
          <w:p w:rsidR="003D2E3A" w:rsidRPr="003D2E3A" w:rsidRDefault="003D2E3A" w:rsidP="003D2E3A">
            <w:pPr>
              <w:divId w:val="1538011535"/>
              <w:rPr>
                <w:rFonts w:ascii="ＭＳ ゴシック" w:eastAsia="ＭＳ ゴシック" w:hAnsi="ＭＳ ゴシック"/>
                <w:sz w:val="24"/>
                <w:szCs w:val="24"/>
              </w:rPr>
            </w:pPr>
            <w:r w:rsidRPr="003D2E3A">
              <w:rPr>
                <w:rFonts w:ascii="ＭＳ ゴシック" w:eastAsia="ＭＳ ゴシック" w:hAnsi="ＭＳ ゴシック"/>
                <w:sz w:val="24"/>
                <w:szCs w:val="24"/>
              </w:rPr>
              <w:t>三階以上の階</w:t>
            </w:r>
          </w:p>
        </w:tc>
        <w:tc>
          <w:tcPr>
            <w:tcW w:w="4819" w:type="dxa"/>
            <w:vAlign w:val="center"/>
          </w:tcPr>
          <w:p w:rsidR="003D2E3A" w:rsidRPr="003D2E3A" w:rsidRDefault="003D2E3A" w:rsidP="003D2E3A">
            <w:pPr>
              <w:divId w:val="1563980635"/>
              <w:rPr>
                <w:rFonts w:ascii="ＭＳ ゴシック" w:eastAsia="ＭＳ ゴシック" w:hAnsi="ＭＳ ゴシック"/>
                <w:sz w:val="24"/>
                <w:szCs w:val="24"/>
              </w:rPr>
            </w:pPr>
            <w:r w:rsidRPr="003D2E3A">
              <w:rPr>
                <w:rFonts w:ascii="ＭＳ ゴシック" w:eastAsia="ＭＳ ゴシック" w:hAnsi="ＭＳ ゴシック"/>
                <w:sz w:val="24"/>
                <w:szCs w:val="24"/>
              </w:rPr>
              <w:t>五百平方メートル以上</w:t>
            </w:r>
          </w:p>
        </w:tc>
        <w:tc>
          <w:tcPr>
            <w:tcW w:w="1559" w:type="dxa"/>
            <w:vAlign w:val="center"/>
          </w:tcPr>
          <w:p w:rsidR="003D2E3A" w:rsidRPr="003D2E3A" w:rsidRDefault="003D2E3A" w:rsidP="003D2E3A">
            <w:pPr>
              <w:rPr>
                <w:rFonts w:ascii="ＭＳ ゴシック" w:eastAsia="ＭＳ ゴシック" w:hAnsi="ＭＳ ゴシック"/>
                <w:sz w:val="24"/>
                <w:szCs w:val="24"/>
              </w:rPr>
            </w:pPr>
          </w:p>
        </w:tc>
      </w:tr>
      <w:tr w:rsidR="003D2E3A" w:rsidRPr="003D2E3A" w:rsidTr="003D2E3A">
        <w:tc>
          <w:tcPr>
            <w:tcW w:w="851" w:type="dxa"/>
            <w:vAlign w:val="center"/>
          </w:tcPr>
          <w:p w:rsidR="003D2E3A" w:rsidRPr="003D2E3A" w:rsidRDefault="003D2E3A" w:rsidP="003D2E3A">
            <w:pPr>
              <w:divId w:val="353194307"/>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lastRenderedPageBreak/>
              <w:t>（五）</w:t>
            </w:r>
          </w:p>
        </w:tc>
        <w:tc>
          <w:tcPr>
            <w:tcW w:w="4961" w:type="dxa"/>
            <w:vAlign w:val="center"/>
          </w:tcPr>
          <w:p w:rsidR="003D2E3A" w:rsidRPr="003D2E3A" w:rsidRDefault="003D2E3A" w:rsidP="003D2E3A">
            <w:pPr>
              <w:divId w:val="565846581"/>
              <w:rPr>
                <w:rFonts w:ascii="ＭＳ ゴシック" w:eastAsia="ＭＳ ゴシック" w:hAnsi="ＭＳ ゴシック"/>
                <w:sz w:val="24"/>
                <w:szCs w:val="24"/>
              </w:rPr>
            </w:pPr>
            <w:r w:rsidRPr="003D2E3A">
              <w:rPr>
                <w:rFonts w:ascii="ＭＳ ゴシック" w:eastAsia="ＭＳ ゴシック" w:hAnsi="ＭＳ ゴシック"/>
                <w:sz w:val="24"/>
                <w:szCs w:val="24"/>
              </w:rPr>
              <w:t>倉庫その他これに類するもので政令で定めるもの</w:t>
            </w:r>
          </w:p>
        </w:tc>
        <w:tc>
          <w:tcPr>
            <w:tcW w:w="1843" w:type="dxa"/>
            <w:vAlign w:val="center"/>
          </w:tcPr>
          <w:p w:rsidR="003D2E3A" w:rsidRPr="003D2E3A" w:rsidRDefault="003D2E3A" w:rsidP="003D2E3A">
            <w:pPr>
              <w:rPr>
                <w:rFonts w:ascii="ＭＳ ゴシック" w:eastAsia="ＭＳ ゴシック" w:hAnsi="ＭＳ ゴシック"/>
                <w:sz w:val="24"/>
                <w:szCs w:val="24"/>
              </w:rPr>
            </w:pPr>
          </w:p>
        </w:tc>
        <w:tc>
          <w:tcPr>
            <w:tcW w:w="4819" w:type="dxa"/>
            <w:vAlign w:val="center"/>
          </w:tcPr>
          <w:p w:rsidR="003D2E3A" w:rsidRPr="003D2E3A" w:rsidRDefault="003D2E3A" w:rsidP="003D2E3A">
            <w:pPr>
              <w:divId w:val="1757706731"/>
              <w:rPr>
                <w:rFonts w:ascii="ＭＳ ゴシック" w:eastAsia="ＭＳ ゴシック" w:hAnsi="ＭＳ ゴシック" w:cs="ＭＳ Ｐゴシック"/>
                <w:sz w:val="24"/>
                <w:szCs w:val="24"/>
              </w:rPr>
            </w:pPr>
            <w:r w:rsidRPr="003D2E3A">
              <w:rPr>
                <w:rFonts w:ascii="ＭＳ ゴシック" w:eastAsia="ＭＳ ゴシック" w:hAnsi="ＭＳ ゴシック"/>
                <w:sz w:val="24"/>
                <w:szCs w:val="24"/>
              </w:rPr>
              <w:t>二百平方メートル以上</w:t>
            </w:r>
          </w:p>
        </w:tc>
        <w:tc>
          <w:tcPr>
            <w:tcW w:w="1559" w:type="dxa"/>
            <w:vAlign w:val="center"/>
          </w:tcPr>
          <w:p w:rsidR="003D2E3A" w:rsidRPr="003D2E3A" w:rsidRDefault="003D2E3A" w:rsidP="003D2E3A">
            <w:pPr>
              <w:divId w:val="1266696688"/>
              <w:rPr>
                <w:rFonts w:ascii="ＭＳ ゴシック" w:eastAsia="ＭＳ ゴシック" w:hAnsi="ＭＳ ゴシック"/>
                <w:sz w:val="24"/>
                <w:szCs w:val="24"/>
              </w:rPr>
            </w:pPr>
            <w:r w:rsidRPr="003D2E3A">
              <w:rPr>
                <w:rFonts w:ascii="ＭＳ ゴシック" w:eastAsia="ＭＳ ゴシック" w:hAnsi="ＭＳ ゴシック"/>
                <w:sz w:val="24"/>
                <w:szCs w:val="24"/>
              </w:rPr>
              <w:t>千五百平方メートル以上</w:t>
            </w:r>
          </w:p>
        </w:tc>
      </w:tr>
    </w:tbl>
    <w:p w:rsidR="003D2E3A" w:rsidRPr="003D2E3A" w:rsidRDefault="003D2E3A" w:rsidP="003D2E3A">
      <w:pPr>
        <w:ind w:left="240" w:hangingChars="100" w:hanging="240"/>
        <w:rPr>
          <w:rFonts w:ascii="ＭＳ ゴシック" w:eastAsia="ＭＳ ゴシック" w:hAnsi="ＭＳ ゴシック"/>
          <w:sz w:val="24"/>
          <w:szCs w:val="24"/>
        </w:rPr>
      </w:pPr>
    </w:p>
    <w:sectPr w:rsidR="003D2E3A" w:rsidRPr="003D2E3A" w:rsidSect="003D2E3A">
      <w:pgSz w:w="16838" w:h="11906" w:orient="landscape"/>
      <w:pgMar w:top="1701" w:right="1387"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3A"/>
    <w:rsid w:val="001712E6"/>
    <w:rsid w:val="003D2E3A"/>
    <w:rsid w:val="003E6DB3"/>
    <w:rsid w:val="00842C78"/>
    <w:rsid w:val="00BF2B79"/>
    <w:rsid w:val="00CA5B5F"/>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022EC5-9A80-4E74-B0A1-35C07430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2C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2C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62106">
      <w:bodyDiv w:val="1"/>
      <w:marLeft w:val="0"/>
      <w:marRight w:val="0"/>
      <w:marTop w:val="0"/>
      <w:marBottom w:val="0"/>
      <w:divBdr>
        <w:top w:val="none" w:sz="0" w:space="0" w:color="auto"/>
        <w:left w:val="none" w:sz="0" w:space="0" w:color="auto"/>
        <w:bottom w:val="none" w:sz="0" w:space="0" w:color="auto"/>
        <w:right w:val="none" w:sz="0" w:space="0" w:color="auto"/>
      </w:divBdr>
      <w:divsChild>
        <w:div w:id="2104455424">
          <w:marLeft w:val="0"/>
          <w:marRight w:val="0"/>
          <w:marTop w:val="0"/>
          <w:marBottom w:val="0"/>
          <w:divBdr>
            <w:top w:val="none" w:sz="0" w:space="0" w:color="auto"/>
            <w:left w:val="none" w:sz="0" w:space="0" w:color="auto"/>
            <w:bottom w:val="none" w:sz="0" w:space="0" w:color="auto"/>
            <w:right w:val="none" w:sz="0" w:space="0" w:color="auto"/>
          </w:divBdr>
          <w:divsChild>
            <w:div w:id="1247298675">
              <w:marLeft w:val="0"/>
              <w:marRight w:val="0"/>
              <w:marTop w:val="0"/>
              <w:marBottom w:val="0"/>
              <w:divBdr>
                <w:top w:val="none" w:sz="0" w:space="0" w:color="auto"/>
                <w:left w:val="none" w:sz="0" w:space="0" w:color="auto"/>
                <w:bottom w:val="none" w:sz="0" w:space="0" w:color="auto"/>
                <w:right w:val="none" w:sz="0" w:space="0" w:color="auto"/>
              </w:divBdr>
              <w:divsChild>
                <w:div w:id="815147663">
                  <w:marLeft w:val="0"/>
                  <w:marRight w:val="0"/>
                  <w:marTop w:val="0"/>
                  <w:marBottom w:val="0"/>
                  <w:divBdr>
                    <w:top w:val="none" w:sz="0" w:space="0" w:color="auto"/>
                    <w:left w:val="none" w:sz="0" w:space="0" w:color="auto"/>
                    <w:bottom w:val="none" w:sz="0" w:space="0" w:color="auto"/>
                    <w:right w:val="none" w:sz="0" w:space="0" w:color="auto"/>
                  </w:divBdr>
                  <w:divsChild>
                    <w:div w:id="268659634">
                      <w:marLeft w:val="0"/>
                      <w:marRight w:val="0"/>
                      <w:marTop w:val="0"/>
                      <w:marBottom w:val="0"/>
                      <w:divBdr>
                        <w:top w:val="none" w:sz="0" w:space="0" w:color="auto"/>
                        <w:left w:val="none" w:sz="0" w:space="0" w:color="auto"/>
                        <w:bottom w:val="none" w:sz="0" w:space="0" w:color="auto"/>
                        <w:right w:val="none" w:sz="0" w:space="0" w:color="auto"/>
                      </w:divBdr>
                      <w:divsChild>
                        <w:div w:id="175996487">
                          <w:marLeft w:val="0"/>
                          <w:marRight w:val="0"/>
                          <w:marTop w:val="0"/>
                          <w:marBottom w:val="0"/>
                          <w:divBdr>
                            <w:top w:val="none" w:sz="0" w:space="0" w:color="auto"/>
                            <w:left w:val="none" w:sz="0" w:space="0" w:color="auto"/>
                            <w:bottom w:val="none" w:sz="0" w:space="0" w:color="auto"/>
                            <w:right w:val="none" w:sz="0" w:space="0" w:color="auto"/>
                          </w:divBdr>
                          <w:divsChild>
                            <w:div w:id="53358292">
                              <w:marLeft w:val="0"/>
                              <w:marRight w:val="0"/>
                              <w:marTop w:val="0"/>
                              <w:marBottom w:val="0"/>
                              <w:divBdr>
                                <w:top w:val="none" w:sz="0" w:space="0" w:color="auto"/>
                                <w:left w:val="none" w:sz="0" w:space="0" w:color="auto"/>
                                <w:bottom w:val="none" w:sz="0" w:space="0" w:color="auto"/>
                                <w:right w:val="none" w:sz="0" w:space="0" w:color="auto"/>
                              </w:divBdr>
                              <w:divsChild>
                                <w:div w:id="342904858">
                                  <w:marLeft w:val="0"/>
                                  <w:marRight w:val="0"/>
                                  <w:marTop w:val="0"/>
                                  <w:marBottom w:val="0"/>
                                  <w:divBdr>
                                    <w:top w:val="none" w:sz="0" w:space="0" w:color="auto"/>
                                    <w:left w:val="none" w:sz="0" w:space="0" w:color="auto"/>
                                    <w:bottom w:val="none" w:sz="0" w:space="0" w:color="auto"/>
                                    <w:right w:val="none" w:sz="0" w:space="0" w:color="auto"/>
                                  </w:divBdr>
                                  <w:divsChild>
                                    <w:div w:id="1178302658">
                                      <w:marLeft w:val="0"/>
                                      <w:marRight w:val="0"/>
                                      <w:marTop w:val="0"/>
                                      <w:marBottom w:val="0"/>
                                      <w:divBdr>
                                        <w:top w:val="none" w:sz="0" w:space="0" w:color="auto"/>
                                        <w:left w:val="none" w:sz="0" w:space="0" w:color="auto"/>
                                        <w:bottom w:val="none" w:sz="0" w:space="0" w:color="auto"/>
                                        <w:right w:val="none" w:sz="0" w:space="0" w:color="auto"/>
                                      </w:divBdr>
                                    </w:div>
                                    <w:div w:id="1427920776">
                                      <w:marLeft w:val="0"/>
                                      <w:marRight w:val="0"/>
                                      <w:marTop w:val="0"/>
                                      <w:marBottom w:val="0"/>
                                      <w:divBdr>
                                        <w:top w:val="none" w:sz="0" w:space="0" w:color="auto"/>
                                        <w:left w:val="none" w:sz="0" w:space="0" w:color="auto"/>
                                        <w:bottom w:val="none" w:sz="0" w:space="0" w:color="auto"/>
                                        <w:right w:val="none" w:sz="0" w:space="0" w:color="auto"/>
                                      </w:divBdr>
                                    </w:div>
                                    <w:div w:id="319308990">
                                      <w:marLeft w:val="0"/>
                                      <w:marRight w:val="0"/>
                                      <w:marTop w:val="0"/>
                                      <w:marBottom w:val="0"/>
                                      <w:divBdr>
                                        <w:top w:val="none" w:sz="0" w:space="0" w:color="auto"/>
                                        <w:left w:val="none" w:sz="0" w:space="0" w:color="auto"/>
                                        <w:bottom w:val="none" w:sz="0" w:space="0" w:color="auto"/>
                                        <w:right w:val="none" w:sz="0" w:space="0" w:color="auto"/>
                                      </w:divBdr>
                                    </w:div>
                                    <w:div w:id="1260874466">
                                      <w:marLeft w:val="0"/>
                                      <w:marRight w:val="0"/>
                                      <w:marTop w:val="0"/>
                                      <w:marBottom w:val="0"/>
                                      <w:divBdr>
                                        <w:top w:val="none" w:sz="0" w:space="0" w:color="auto"/>
                                        <w:left w:val="none" w:sz="0" w:space="0" w:color="auto"/>
                                        <w:bottom w:val="none" w:sz="0" w:space="0" w:color="auto"/>
                                        <w:right w:val="none" w:sz="0" w:space="0" w:color="auto"/>
                                      </w:divBdr>
                                    </w:div>
                                    <w:div w:id="146628071">
                                      <w:marLeft w:val="0"/>
                                      <w:marRight w:val="0"/>
                                      <w:marTop w:val="0"/>
                                      <w:marBottom w:val="0"/>
                                      <w:divBdr>
                                        <w:top w:val="none" w:sz="0" w:space="0" w:color="auto"/>
                                        <w:left w:val="none" w:sz="0" w:space="0" w:color="auto"/>
                                        <w:bottom w:val="none" w:sz="0" w:space="0" w:color="auto"/>
                                        <w:right w:val="none" w:sz="0" w:space="0" w:color="auto"/>
                                      </w:divBdr>
                                    </w:div>
                                    <w:div w:id="263537703">
                                      <w:marLeft w:val="0"/>
                                      <w:marRight w:val="0"/>
                                      <w:marTop w:val="0"/>
                                      <w:marBottom w:val="0"/>
                                      <w:divBdr>
                                        <w:top w:val="none" w:sz="0" w:space="0" w:color="auto"/>
                                        <w:left w:val="none" w:sz="0" w:space="0" w:color="auto"/>
                                        <w:bottom w:val="none" w:sz="0" w:space="0" w:color="auto"/>
                                        <w:right w:val="none" w:sz="0" w:space="0" w:color="auto"/>
                                      </w:divBdr>
                                    </w:div>
                                    <w:div w:id="598029915">
                                      <w:marLeft w:val="0"/>
                                      <w:marRight w:val="0"/>
                                      <w:marTop w:val="0"/>
                                      <w:marBottom w:val="0"/>
                                      <w:divBdr>
                                        <w:top w:val="none" w:sz="0" w:space="0" w:color="auto"/>
                                        <w:left w:val="none" w:sz="0" w:space="0" w:color="auto"/>
                                        <w:bottom w:val="none" w:sz="0" w:space="0" w:color="auto"/>
                                        <w:right w:val="none" w:sz="0" w:space="0" w:color="auto"/>
                                      </w:divBdr>
                                    </w:div>
                                    <w:div w:id="1781872369">
                                      <w:marLeft w:val="0"/>
                                      <w:marRight w:val="0"/>
                                      <w:marTop w:val="0"/>
                                      <w:marBottom w:val="0"/>
                                      <w:divBdr>
                                        <w:top w:val="none" w:sz="0" w:space="0" w:color="auto"/>
                                        <w:left w:val="none" w:sz="0" w:space="0" w:color="auto"/>
                                        <w:bottom w:val="none" w:sz="0" w:space="0" w:color="auto"/>
                                        <w:right w:val="none" w:sz="0" w:space="0" w:color="auto"/>
                                      </w:divBdr>
                                    </w:div>
                                    <w:div w:id="1319378730">
                                      <w:marLeft w:val="0"/>
                                      <w:marRight w:val="0"/>
                                      <w:marTop w:val="0"/>
                                      <w:marBottom w:val="0"/>
                                      <w:divBdr>
                                        <w:top w:val="none" w:sz="0" w:space="0" w:color="auto"/>
                                        <w:left w:val="none" w:sz="0" w:space="0" w:color="auto"/>
                                        <w:bottom w:val="none" w:sz="0" w:space="0" w:color="auto"/>
                                        <w:right w:val="none" w:sz="0" w:space="0" w:color="auto"/>
                                      </w:divBdr>
                                    </w:div>
                                    <w:div w:id="610942349">
                                      <w:marLeft w:val="0"/>
                                      <w:marRight w:val="0"/>
                                      <w:marTop w:val="0"/>
                                      <w:marBottom w:val="0"/>
                                      <w:divBdr>
                                        <w:top w:val="none" w:sz="0" w:space="0" w:color="auto"/>
                                        <w:left w:val="none" w:sz="0" w:space="0" w:color="auto"/>
                                        <w:bottom w:val="none" w:sz="0" w:space="0" w:color="auto"/>
                                        <w:right w:val="none" w:sz="0" w:space="0" w:color="auto"/>
                                      </w:divBdr>
                                    </w:div>
                                    <w:div w:id="1654484696">
                                      <w:marLeft w:val="0"/>
                                      <w:marRight w:val="0"/>
                                      <w:marTop w:val="0"/>
                                      <w:marBottom w:val="0"/>
                                      <w:divBdr>
                                        <w:top w:val="none" w:sz="0" w:space="0" w:color="auto"/>
                                        <w:left w:val="none" w:sz="0" w:space="0" w:color="auto"/>
                                        <w:bottom w:val="none" w:sz="0" w:space="0" w:color="auto"/>
                                        <w:right w:val="none" w:sz="0" w:space="0" w:color="auto"/>
                                      </w:divBdr>
                                    </w:div>
                                    <w:div w:id="1939827049">
                                      <w:marLeft w:val="0"/>
                                      <w:marRight w:val="0"/>
                                      <w:marTop w:val="0"/>
                                      <w:marBottom w:val="0"/>
                                      <w:divBdr>
                                        <w:top w:val="none" w:sz="0" w:space="0" w:color="auto"/>
                                        <w:left w:val="none" w:sz="0" w:space="0" w:color="auto"/>
                                        <w:bottom w:val="none" w:sz="0" w:space="0" w:color="auto"/>
                                        <w:right w:val="none" w:sz="0" w:space="0" w:color="auto"/>
                                      </w:divBdr>
                                    </w:div>
                                    <w:div w:id="14623255">
                                      <w:marLeft w:val="0"/>
                                      <w:marRight w:val="0"/>
                                      <w:marTop w:val="0"/>
                                      <w:marBottom w:val="0"/>
                                      <w:divBdr>
                                        <w:top w:val="none" w:sz="0" w:space="0" w:color="auto"/>
                                        <w:left w:val="none" w:sz="0" w:space="0" w:color="auto"/>
                                        <w:bottom w:val="none" w:sz="0" w:space="0" w:color="auto"/>
                                        <w:right w:val="none" w:sz="0" w:space="0" w:color="auto"/>
                                      </w:divBdr>
                                    </w:div>
                                    <w:div w:id="1628968791">
                                      <w:marLeft w:val="0"/>
                                      <w:marRight w:val="0"/>
                                      <w:marTop w:val="0"/>
                                      <w:marBottom w:val="0"/>
                                      <w:divBdr>
                                        <w:top w:val="none" w:sz="0" w:space="0" w:color="auto"/>
                                        <w:left w:val="none" w:sz="0" w:space="0" w:color="auto"/>
                                        <w:bottom w:val="none" w:sz="0" w:space="0" w:color="auto"/>
                                        <w:right w:val="none" w:sz="0" w:space="0" w:color="auto"/>
                                      </w:divBdr>
                                    </w:div>
                                    <w:div w:id="1743290287">
                                      <w:marLeft w:val="0"/>
                                      <w:marRight w:val="0"/>
                                      <w:marTop w:val="0"/>
                                      <w:marBottom w:val="0"/>
                                      <w:divBdr>
                                        <w:top w:val="none" w:sz="0" w:space="0" w:color="auto"/>
                                        <w:left w:val="none" w:sz="0" w:space="0" w:color="auto"/>
                                        <w:bottom w:val="none" w:sz="0" w:space="0" w:color="auto"/>
                                        <w:right w:val="none" w:sz="0" w:space="0" w:color="auto"/>
                                      </w:divBdr>
                                    </w:div>
                                    <w:div w:id="431560372">
                                      <w:marLeft w:val="0"/>
                                      <w:marRight w:val="0"/>
                                      <w:marTop w:val="0"/>
                                      <w:marBottom w:val="0"/>
                                      <w:divBdr>
                                        <w:top w:val="none" w:sz="0" w:space="0" w:color="auto"/>
                                        <w:left w:val="none" w:sz="0" w:space="0" w:color="auto"/>
                                        <w:bottom w:val="none" w:sz="0" w:space="0" w:color="auto"/>
                                        <w:right w:val="none" w:sz="0" w:space="0" w:color="auto"/>
                                      </w:divBdr>
                                    </w:div>
                                    <w:div w:id="135725773">
                                      <w:marLeft w:val="0"/>
                                      <w:marRight w:val="0"/>
                                      <w:marTop w:val="0"/>
                                      <w:marBottom w:val="0"/>
                                      <w:divBdr>
                                        <w:top w:val="none" w:sz="0" w:space="0" w:color="auto"/>
                                        <w:left w:val="none" w:sz="0" w:space="0" w:color="auto"/>
                                        <w:bottom w:val="none" w:sz="0" w:space="0" w:color="auto"/>
                                        <w:right w:val="none" w:sz="0" w:space="0" w:color="auto"/>
                                      </w:divBdr>
                                    </w:div>
                                    <w:div w:id="1745489233">
                                      <w:marLeft w:val="0"/>
                                      <w:marRight w:val="0"/>
                                      <w:marTop w:val="0"/>
                                      <w:marBottom w:val="0"/>
                                      <w:divBdr>
                                        <w:top w:val="none" w:sz="0" w:space="0" w:color="auto"/>
                                        <w:left w:val="none" w:sz="0" w:space="0" w:color="auto"/>
                                        <w:bottom w:val="none" w:sz="0" w:space="0" w:color="auto"/>
                                        <w:right w:val="none" w:sz="0" w:space="0" w:color="auto"/>
                                      </w:divBdr>
                                    </w:div>
                                    <w:div w:id="1503012201">
                                      <w:marLeft w:val="0"/>
                                      <w:marRight w:val="0"/>
                                      <w:marTop w:val="0"/>
                                      <w:marBottom w:val="0"/>
                                      <w:divBdr>
                                        <w:top w:val="none" w:sz="0" w:space="0" w:color="auto"/>
                                        <w:left w:val="none" w:sz="0" w:space="0" w:color="auto"/>
                                        <w:bottom w:val="none" w:sz="0" w:space="0" w:color="auto"/>
                                        <w:right w:val="none" w:sz="0" w:space="0" w:color="auto"/>
                                      </w:divBdr>
                                    </w:div>
                                    <w:div w:id="909148040">
                                      <w:marLeft w:val="0"/>
                                      <w:marRight w:val="0"/>
                                      <w:marTop w:val="0"/>
                                      <w:marBottom w:val="0"/>
                                      <w:divBdr>
                                        <w:top w:val="none" w:sz="0" w:space="0" w:color="auto"/>
                                        <w:left w:val="none" w:sz="0" w:space="0" w:color="auto"/>
                                        <w:bottom w:val="none" w:sz="0" w:space="0" w:color="auto"/>
                                        <w:right w:val="none" w:sz="0" w:space="0" w:color="auto"/>
                                      </w:divBdr>
                                    </w:div>
                                    <w:div w:id="852449987">
                                      <w:marLeft w:val="0"/>
                                      <w:marRight w:val="0"/>
                                      <w:marTop w:val="0"/>
                                      <w:marBottom w:val="0"/>
                                      <w:divBdr>
                                        <w:top w:val="none" w:sz="0" w:space="0" w:color="auto"/>
                                        <w:left w:val="none" w:sz="0" w:space="0" w:color="auto"/>
                                        <w:bottom w:val="none" w:sz="0" w:space="0" w:color="auto"/>
                                        <w:right w:val="none" w:sz="0" w:space="0" w:color="auto"/>
                                      </w:divBdr>
                                    </w:div>
                                    <w:div w:id="124206160">
                                      <w:marLeft w:val="0"/>
                                      <w:marRight w:val="0"/>
                                      <w:marTop w:val="0"/>
                                      <w:marBottom w:val="0"/>
                                      <w:divBdr>
                                        <w:top w:val="none" w:sz="0" w:space="0" w:color="auto"/>
                                        <w:left w:val="none" w:sz="0" w:space="0" w:color="auto"/>
                                        <w:bottom w:val="none" w:sz="0" w:space="0" w:color="auto"/>
                                        <w:right w:val="none" w:sz="0" w:space="0" w:color="auto"/>
                                      </w:divBdr>
                                    </w:div>
                                    <w:div w:id="1538011535">
                                      <w:marLeft w:val="0"/>
                                      <w:marRight w:val="0"/>
                                      <w:marTop w:val="0"/>
                                      <w:marBottom w:val="0"/>
                                      <w:divBdr>
                                        <w:top w:val="none" w:sz="0" w:space="0" w:color="auto"/>
                                        <w:left w:val="none" w:sz="0" w:space="0" w:color="auto"/>
                                        <w:bottom w:val="none" w:sz="0" w:space="0" w:color="auto"/>
                                        <w:right w:val="none" w:sz="0" w:space="0" w:color="auto"/>
                                      </w:divBdr>
                                    </w:div>
                                    <w:div w:id="1563980635">
                                      <w:marLeft w:val="0"/>
                                      <w:marRight w:val="0"/>
                                      <w:marTop w:val="0"/>
                                      <w:marBottom w:val="0"/>
                                      <w:divBdr>
                                        <w:top w:val="none" w:sz="0" w:space="0" w:color="auto"/>
                                        <w:left w:val="none" w:sz="0" w:space="0" w:color="auto"/>
                                        <w:bottom w:val="none" w:sz="0" w:space="0" w:color="auto"/>
                                        <w:right w:val="none" w:sz="0" w:space="0" w:color="auto"/>
                                      </w:divBdr>
                                    </w:div>
                                    <w:div w:id="353194307">
                                      <w:marLeft w:val="0"/>
                                      <w:marRight w:val="0"/>
                                      <w:marTop w:val="0"/>
                                      <w:marBottom w:val="0"/>
                                      <w:divBdr>
                                        <w:top w:val="none" w:sz="0" w:space="0" w:color="auto"/>
                                        <w:left w:val="none" w:sz="0" w:space="0" w:color="auto"/>
                                        <w:bottom w:val="none" w:sz="0" w:space="0" w:color="auto"/>
                                        <w:right w:val="none" w:sz="0" w:space="0" w:color="auto"/>
                                      </w:divBdr>
                                    </w:div>
                                    <w:div w:id="565846581">
                                      <w:marLeft w:val="0"/>
                                      <w:marRight w:val="0"/>
                                      <w:marTop w:val="0"/>
                                      <w:marBottom w:val="0"/>
                                      <w:divBdr>
                                        <w:top w:val="none" w:sz="0" w:space="0" w:color="auto"/>
                                        <w:left w:val="none" w:sz="0" w:space="0" w:color="auto"/>
                                        <w:bottom w:val="none" w:sz="0" w:space="0" w:color="auto"/>
                                        <w:right w:val="none" w:sz="0" w:space="0" w:color="auto"/>
                                      </w:divBdr>
                                    </w:div>
                                    <w:div w:id="1757706731">
                                      <w:marLeft w:val="0"/>
                                      <w:marRight w:val="0"/>
                                      <w:marTop w:val="0"/>
                                      <w:marBottom w:val="0"/>
                                      <w:divBdr>
                                        <w:top w:val="none" w:sz="0" w:space="0" w:color="auto"/>
                                        <w:left w:val="none" w:sz="0" w:space="0" w:color="auto"/>
                                        <w:bottom w:val="none" w:sz="0" w:space="0" w:color="auto"/>
                                        <w:right w:val="none" w:sz="0" w:space="0" w:color="auto"/>
                                      </w:divBdr>
                                    </w:div>
                                    <w:div w:id="12666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354</Words>
  <Characters>2024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