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E3A" w:rsidRPr="003D2E3A" w:rsidRDefault="003D2E3A" w:rsidP="005469C4">
      <w:pPr>
        <w:jc w:val="right"/>
        <w:rPr>
          <w:rFonts w:ascii="ＭＳ ゴシック" w:eastAsia="ＭＳ ゴシック" w:hAnsi="ＭＳ ゴシック"/>
          <w:sz w:val="24"/>
          <w:szCs w:val="24"/>
          <w:bdr w:val="single" w:sz="4" w:space="0" w:color="auto"/>
        </w:rPr>
      </w:pPr>
      <w:r w:rsidRPr="003D2E3A">
        <w:rPr>
          <w:rFonts w:ascii="ＭＳ ゴシック" w:eastAsia="ＭＳ ゴシック" w:hAnsi="ＭＳ ゴシック" w:hint="eastAsia"/>
          <w:sz w:val="24"/>
          <w:szCs w:val="24"/>
          <w:bdr w:val="single" w:sz="4" w:space="0" w:color="auto"/>
        </w:rPr>
        <w:t>参考資料</w:t>
      </w:r>
      <w:r w:rsidR="00C62B05">
        <w:rPr>
          <w:rFonts w:ascii="ＭＳ ゴシック" w:eastAsia="ＭＳ ゴシック" w:hAnsi="ＭＳ ゴシック" w:hint="eastAsia"/>
          <w:sz w:val="24"/>
          <w:szCs w:val="24"/>
          <w:bdr w:val="single" w:sz="4" w:space="0" w:color="auto"/>
        </w:rPr>
        <w:t>７</w:t>
      </w:r>
      <w:bookmarkStart w:id="0" w:name="_GoBack"/>
      <w:bookmarkEnd w:id="0"/>
    </w:p>
    <w:p w:rsidR="003D2E3A" w:rsidRDefault="003D2E3A" w:rsidP="005469C4">
      <w:pPr>
        <w:jc w:val="left"/>
        <w:rPr>
          <w:rFonts w:ascii="ＭＳ ゴシック" w:eastAsia="ＭＳ ゴシック" w:hAnsi="ＭＳ ゴシック"/>
          <w:sz w:val="24"/>
          <w:szCs w:val="24"/>
        </w:rPr>
      </w:pPr>
    </w:p>
    <w:p w:rsidR="005469C4" w:rsidRPr="005469C4" w:rsidRDefault="005469C4" w:rsidP="005469C4">
      <w:pPr>
        <w:jc w:val="center"/>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建設工事に係る資材の再資源化等に関する法律</w:t>
      </w:r>
      <w:r>
        <w:rPr>
          <w:rFonts w:ascii="ＭＳ ゴシック" w:eastAsia="ＭＳ ゴシック" w:hAnsi="ＭＳ ゴシック" w:hint="eastAsia"/>
          <w:sz w:val="24"/>
          <w:szCs w:val="24"/>
        </w:rPr>
        <w:t>（</w:t>
      </w:r>
      <w:r w:rsidRPr="005469C4">
        <w:rPr>
          <w:rFonts w:ascii="ＭＳ ゴシック" w:eastAsia="ＭＳ ゴシック" w:hAnsi="ＭＳ ゴシック" w:hint="eastAsia"/>
          <w:sz w:val="24"/>
          <w:szCs w:val="24"/>
        </w:rPr>
        <w:t>平成</w:t>
      </w:r>
      <w:r>
        <w:rPr>
          <w:rFonts w:ascii="ＭＳ ゴシック" w:eastAsia="ＭＳ ゴシック" w:hAnsi="ＭＳ ゴシック" w:hint="eastAsia"/>
          <w:sz w:val="24"/>
          <w:szCs w:val="24"/>
        </w:rPr>
        <w:t>12</w:t>
      </w:r>
      <w:r w:rsidRPr="005469C4">
        <w:rPr>
          <w:rFonts w:ascii="ＭＳ ゴシック" w:eastAsia="ＭＳ ゴシック" w:hAnsi="ＭＳ ゴシック" w:hint="eastAsia"/>
          <w:sz w:val="24"/>
          <w:szCs w:val="24"/>
        </w:rPr>
        <w:t>年法律第</w:t>
      </w:r>
      <w:r>
        <w:rPr>
          <w:rFonts w:ascii="ＭＳ ゴシック" w:eastAsia="ＭＳ ゴシック" w:hAnsi="ＭＳ ゴシック" w:hint="eastAsia"/>
          <w:sz w:val="24"/>
          <w:szCs w:val="24"/>
        </w:rPr>
        <w:t>104</w:t>
      </w:r>
      <w:r w:rsidRPr="005469C4">
        <w:rPr>
          <w:rFonts w:ascii="ＭＳ ゴシック" w:eastAsia="ＭＳ ゴシック" w:hAnsi="ＭＳ ゴシック" w:hint="eastAsia"/>
          <w:sz w:val="24"/>
          <w:szCs w:val="24"/>
        </w:rPr>
        <w:t>号</w:t>
      </w:r>
      <w:r>
        <w:rPr>
          <w:rFonts w:ascii="ＭＳ ゴシック" w:eastAsia="ＭＳ ゴシック" w:hAnsi="ＭＳ ゴシック" w:hint="eastAsia"/>
          <w:sz w:val="24"/>
          <w:szCs w:val="24"/>
        </w:rPr>
        <w:t>）</w:t>
      </w:r>
    </w:p>
    <w:p w:rsidR="005469C4" w:rsidRPr="005469C4" w:rsidRDefault="005469C4" w:rsidP="005469C4">
      <w:pPr>
        <w:jc w:val="left"/>
        <w:rPr>
          <w:rFonts w:ascii="ＭＳ ゴシック" w:eastAsia="ＭＳ ゴシック" w:hAnsi="ＭＳ ゴシック"/>
          <w:sz w:val="24"/>
          <w:szCs w:val="24"/>
        </w:rPr>
      </w:pPr>
    </w:p>
    <w:p w:rsidR="005469C4" w:rsidRPr="005469C4" w:rsidRDefault="005469C4" w:rsidP="005469C4">
      <w:pPr>
        <w:ind w:firstLineChars="100" w:firstLine="240"/>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（分別解体等実施義務）</w:t>
      </w:r>
    </w:p>
    <w:p w:rsidR="005469C4" w:rsidRPr="005469C4" w:rsidRDefault="005469C4" w:rsidP="005469C4">
      <w:pPr>
        <w:ind w:left="240" w:hangingChars="100" w:hanging="240"/>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第九条　特定建設資材を用いた建築物等に係る解体工事又はその施工に特定建設資材を使用する新築工事等であって、その規模が第三項又は第四項の建設工事の規模に関する基準以上のもの（以下「対象建設工事」という。）の受注者（当該対象建設工事の全部又は一部について下請契約が締結されている場合における各下請負人を含む。以下「対象建設工事受注者」という。）又はこれを請負契約によらないで自ら施工する者（以下単に「自主施工者」という。）は、正当な理由がある場合を除き、分別解体等をしなければならない。</w:t>
      </w:r>
    </w:p>
    <w:p w:rsidR="005469C4" w:rsidRPr="005469C4" w:rsidRDefault="005469C4" w:rsidP="005469C4">
      <w:pPr>
        <w:ind w:left="240" w:hangingChars="100" w:hanging="240"/>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２　前項の分別解体等は、特定建設資材廃棄物をその種類ごとに分別することを確保するための適切な施工方法に関する基準として主務省令で定める基準に従い、行わなければならない。</w:t>
      </w:r>
    </w:p>
    <w:p w:rsidR="005469C4" w:rsidRPr="005469C4" w:rsidRDefault="005469C4" w:rsidP="005469C4">
      <w:pPr>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３　建設工事の規模に関する基準は、政令で定める。</w:t>
      </w:r>
    </w:p>
    <w:p w:rsidR="005469C4" w:rsidRPr="005469C4" w:rsidRDefault="005469C4" w:rsidP="005469C4">
      <w:pPr>
        <w:ind w:left="240" w:hangingChars="100" w:hanging="240"/>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４　都道府県は、当該都道府県の区域のうちに、特定建設資材廃棄物の再資源化等をするための施設及び廃棄物の最終処分場における処理量の見込みその他の事情から判断して前項の基準によっては当該区域において生じる特定建設資材廃棄物をその再資源化等により減量することが十分でないと認められる区域があるときは、当該区域について、条例で、同項の基準に代えて適用すべき建設工事の規模に関する基準を定めることができる。</w:t>
      </w:r>
    </w:p>
    <w:p w:rsidR="005469C4" w:rsidRPr="005469C4" w:rsidRDefault="005469C4" w:rsidP="005469C4">
      <w:pPr>
        <w:jc w:val="left"/>
        <w:rPr>
          <w:rFonts w:ascii="ＭＳ ゴシック" w:eastAsia="ＭＳ ゴシック" w:hAnsi="ＭＳ ゴシック"/>
          <w:sz w:val="24"/>
          <w:szCs w:val="24"/>
        </w:rPr>
      </w:pPr>
    </w:p>
    <w:p w:rsidR="005469C4" w:rsidRPr="005469C4" w:rsidRDefault="005469C4" w:rsidP="005469C4">
      <w:pPr>
        <w:ind w:firstLineChars="100" w:firstLine="240"/>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（対象建設工事の届出等）</w:t>
      </w:r>
    </w:p>
    <w:p w:rsidR="005469C4" w:rsidRPr="005469C4" w:rsidRDefault="005469C4" w:rsidP="005469C4">
      <w:pPr>
        <w:ind w:left="240" w:hangingChars="100" w:hanging="240"/>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第十条　対象建設工事の発注者又は自主施工者は、工事に着手する日の七日前までに、主務省令で定めるところにより、次に掲げる事項を都道府県知事に届け出なければならない。</w:t>
      </w:r>
    </w:p>
    <w:p w:rsidR="005469C4" w:rsidRPr="005469C4" w:rsidRDefault="005469C4" w:rsidP="005469C4">
      <w:pPr>
        <w:ind w:firstLineChars="100" w:firstLine="240"/>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一　解体工事である場合においては、解体する建築物等の構造</w:t>
      </w:r>
    </w:p>
    <w:p w:rsidR="005469C4" w:rsidRPr="005469C4" w:rsidRDefault="005469C4" w:rsidP="005469C4">
      <w:pPr>
        <w:ind w:firstLineChars="100" w:firstLine="240"/>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二　新築工事等である場合においては、使用する特定建設資材の種類</w:t>
      </w:r>
    </w:p>
    <w:p w:rsidR="005469C4" w:rsidRPr="005469C4" w:rsidRDefault="005469C4" w:rsidP="005469C4">
      <w:pPr>
        <w:ind w:firstLineChars="100" w:firstLine="240"/>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三　工事着手の時期及び工程の概要</w:t>
      </w:r>
    </w:p>
    <w:p w:rsidR="005469C4" w:rsidRPr="005469C4" w:rsidRDefault="005469C4" w:rsidP="005469C4">
      <w:pPr>
        <w:ind w:firstLineChars="100" w:firstLine="240"/>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四　分別解体等の計画</w:t>
      </w:r>
    </w:p>
    <w:p w:rsidR="005469C4" w:rsidRPr="005469C4" w:rsidRDefault="005469C4" w:rsidP="005469C4">
      <w:pPr>
        <w:ind w:leftChars="100" w:left="450" w:hangingChars="100" w:hanging="240"/>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五　解体工事である場合においては、解体する建築物等に用いられた建設資材の量の見込み</w:t>
      </w:r>
    </w:p>
    <w:p w:rsidR="005469C4" w:rsidRPr="005469C4" w:rsidRDefault="005469C4" w:rsidP="005469C4">
      <w:pPr>
        <w:ind w:firstLineChars="100" w:firstLine="240"/>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六　その他主務省令で定める事項</w:t>
      </w:r>
    </w:p>
    <w:p w:rsidR="005469C4" w:rsidRPr="005469C4" w:rsidRDefault="005469C4" w:rsidP="005469C4">
      <w:pPr>
        <w:ind w:left="240" w:hangingChars="100" w:hanging="240"/>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２　前項の規定による届出をした者は、その届出に係る事項のうち主務省令で定める事項を変更しようとするときは、その届出に係る工事に着手する日の七日前までに、主務省令で定めるところにより、その旨を都道府県知事に届</w:t>
      </w:r>
      <w:r w:rsidRPr="005469C4">
        <w:rPr>
          <w:rFonts w:ascii="ＭＳ ゴシック" w:eastAsia="ＭＳ ゴシック" w:hAnsi="ＭＳ ゴシック" w:hint="eastAsia"/>
          <w:sz w:val="24"/>
          <w:szCs w:val="24"/>
        </w:rPr>
        <w:lastRenderedPageBreak/>
        <w:t>け出なければならない。</w:t>
      </w:r>
    </w:p>
    <w:p w:rsidR="005469C4" w:rsidRPr="005469C4" w:rsidRDefault="005469C4" w:rsidP="005469C4">
      <w:pPr>
        <w:ind w:left="240" w:hangingChars="100" w:hanging="240"/>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３　都道府県知事は、第一項又は前項の規定による届出があった場合において、その届出に係る分別解体等の計画が前条第二項の主務省令で定める基準に適合しないと認めるときは、その届出を受理した日から七日以内に限り、その届出をした者に対し、その届出に係る分別解体等の計画の変更その他必要な措置を命ずることができる。</w:t>
      </w:r>
    </w:p>
    <w:p w:rsidR="005469C4" w:rsidRPr="005469C4" w:rsidRDefault="005469C4" w:rsidP="005469C4">
      <w:pPr>
        <w:jc w:val="left"/>
        <w:rPr>
          <w:rFonts w:ascii="ＭＳ ゴシック" w:eastAsia="ＭＳ ゴシック" w:hAnsi="ＭＳ ゴシック"/>
          <w:sz w:val="24"/>
          <w:szCs w:val="24"/>
        </w:rPr>
      </w:pPr>
    </w:p>
    <w:p w:rsidR="005469C4" w:rsidRPr="005469C4" w:rsidRDefault="005469C4" w:rsidP="005469C4">
      <w:pPr>
        <w:ind w:firstLineChars="100" w:firstLine="240"/>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（国等に関する特例）</w:t>
      </w:r>
    </w:p>
    <w:p w:rsidR="005469C4" w:rsidRDefault="005469C4" w:rsidP="005469C4">
      <w:pPr>
        <w:ind w:left="240" w:hangingChars="100" w:hanging="240"/>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第十一条　国の機関又は地方公共団体は、前条第一項の規定により届出を要する行為をしようとするときは、あらかじめ、都道府県知事にその旨を通知しなければならない。</w:t>
      </w:r>
    </w:p>
    <w:p w:rsidR="005469C4" w:rsidRDefault="005469C4">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rsidR="005469C4" w:rsidRDefault="005469C4" w:rsidP="005469C4">
      <w:pPr>
        <w:jc w:val="center"/>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lastRenderedPageBreak/>
        <w:t>建設工事に係る資材の再資源化等に関する法律施行令</w:t>
      </w:r>
    </w:p>
    <w:p w:rsidR="005469C4" w:rsidRPr="005469C4" w:rsidRDefault="005469C4" w:rsidP="005469C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（平成12</w:t>
      </w:r>
      <w:r w:rsidRPr="005469C4">
        <w:rPr>
          <w:rFonts w:ascii="ＭＳ ゴシック" w:eastAsia="ＭＳ ゴシック" w:hAnsi="ＭＳ ゴシック" w:hint="eastAsia"/>
          <w:sz w:val="24"/>
          <w:szCs w:val="24"/>
        </w:rPr>
        <w:t>年政令第</w:t>
      </w:r>
      <w:r>
        <w:rPr>
          <w:rFonts w:ascii="ＭＳ ゴシック" w:eastAsia="ＭＳ ゴシック" w:hAnsi="ＭＳ ゴシック" w:hint="eastAsia"/>
          <w:sz w:val="24"/>
          <w:szCs w:val="24"/>
        </w:rPr>
        <w:t>495</w:t>
      </w:r>
      <w:r w:rsidRPr="005469C4">
        <w:rPr>
          <w:rFonts w:ascii="ＭＳ ゴシック" w:eastAsia="ＭＳ ゴシック" w:hAnsi="ＭＳ ゴシック" w:hint="eastAsia"/>
          <w:sz w:val="24"/>
          <w:szCs w:val="24"/>
        </w:rPr>
        <w:t>号</w:t>
      </w:r>
      <w:r>
        <w:rPr>
          <w:rFonts w:ascii="ＭＳ ゴシック" w:eastAsia="ＭＳ ゴシック" w:hAnsi="ＭＳ ゴシック" w:hint="eastAsia"/>
          <w:sz w:val="24"/>
          <w:szCs w:val="24"/>
        </w:rPr>
        <w:t>）</w:t>
      </w:r>
    </w:p>
    <w:p w:rsidR="005469C4" w:rsidRPr="005469C4" w:rsidRDefault="005469C4" w:rsidP="005469C4">
      <w:pPr>
        <w:jc w:val="left"/>
        <w:rPr>
          <w:rFonts w:ascii="ＭＳ ゴシック" w:eastAsia="ＭＳ ゴシック" w:hAnsi="ＭＳ ゴシック"/>
          <w:sz w:val="24"/>
          <w:szCs w:val="24"/>
        </w:rPr>
      </w:pPr>
    </w:p>
    <w:p w:rsidR="005469C4" w:rsidRPr="005469C4" w:rsidRDefault="005469C4" w:rsidP="005469C4">
      <w:pPr>
        <w:ind w:left="240" w:hangingChars="100" w:hanging="240"/>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第二条　法第九条第三項の建設工事の規模に関する基準は、次に掲げるとおりとする。</w:t>
      </w:r>
    </w:p>
    <w:p w:rsidR="005469C4" w:rsidRPr="005469C4" w:rsidRDefault="005469C4" w:rsidP="005469C4">
      <w:pPr>
        <w:ind w:leftChars="100" w:left="450" w:hangingChars="100" w:hanging="240"/>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一　建築物（建築基準法（昭和二十五年法律第二百一号）第二条第一号に規定する建築物をいう。以下同じ。）に係る解体工事については、当該建築物（当該解体工事に係る部分に限る。）の床面積の合計が八十平方メートルであるもの</w:t>
      </w:r>
    </w:p>
    <w:p w:rsidR="005469C4" w:rsidRPr="005469C4" w:rsidRDefault="005469C4" w:rsidP="005469C4">
      <w:pPr>
        <w:ind w:leftChars="100" w:left="450" w:hangingChars="100" w:hanging="240"/>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二　建築物に係る新築又は増築の工事については、当該建築物（増築の工事にあっては、当該工事に係る部分に限る。）の床面積の合計が五百平方メートルであるもの</w:t>
      </w:r>
    </w:p>
    <w:p w:rsidR="005469C4" w:rsidRPr="005469C4" w:rsidRDefault="005469C4" w:rsidP="005469C4">
      <w:pPr>
        <w:ind w:leftChars="100" w:left="450" w:hangingChars="100" w:hanging="240"/>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三　建築物に係る新築工事等（法第二条第三項第二号に規定する新築工事等をいう。以下同じ。）であって前号に規定する新築又は増築の工事に該当しないものについては、その請負代金の額（法第九条第一項に規定する自主施工者が施工するものについては、これを請負人に施工させることとした場合における適正な請負代金相当額。次号において同じ。）が一億円であるもの</w:t>
      </w:r>
    </w:p>
    <w:p w:rsidR="005469C4" w:rsidRPr="005469C4" w:rsidRDefault="005469C4" w:rsidP="005469C4">
      <w:pPr>
        <w:ind w:leftChars="100" w:left="450" w:hangingChars="100" w:hanging="240"/>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四　建築物以外のものに係る解体工事又は新築工事等については、その請負代金の額が五百万円であるもの</w:t>
      </w:r>
    </w:p>
    <w:p w:rsidR="005469C4" w:rsidRPr="005469C4" w:rsidRDefault="005469C4" w:rsidP="005469C4">
      <w:pPr>
        <w:ind w:left="240" w:hangingChars="100" w:hanging="240"/>
        <w:jc w:val="left"/>
        <w:rPr>
          <w:rFonts w:ascii="ＭＳ ゴシック" w:eastAsia="ＭＳ ゴシック" w:hAnsi="ＭＳ ゴシック"/>
          <w:sz w:val="24"/>
          <w:szCs w:val="24"/>
        </w:rPr>
      </w:pPr>
      <w:r w:rsidRPr="005469C4">
        <w:rPr>
          <w:rFonts w:ascii="ＭＳ ゴシック" w:eastAsia="ＭＳ ゴシック" w:hAnsi="ＭＳ ゴシック" w:hint="eastAsia"/>
          <w:sz w:val="24"/>
          <w:szCs w:val="24"/>
        </w:rPr>
        <w:t>２　解体工事又は新築工事等を同一の者が二以上の契約に分割して請け負う場合においては、これを一の契約で請け負ったものとみなして、前項に規定する基準を適用する。ただし、正当な理由に基づいて契約を分割したときは、この限りでない。</w:t>
      </w:r>
    </w:p>
    <w:p w:rsidR="005469C4" w:rsidRPr="005469C4" w:rsidRDefault="005469C4" w:rsidP="005469C4">
      <w:pPr>
        <w:jc w:val="left"/>
        <w:rPr>
          <w:rFonts w:ascii="ＭＳ ゴシック" w:eastAsia="ＭＳ ゴシック" w:hAnsi="ＭＳ ゴシック"/>
          <w:sz w:val="24"/>
          <w:szCs w:val="24"/>
        </w:rPr>
      </w:pPr>
    </w:p>
    <w:p w:rsidR="005469C4" w:rsidRPr="005469C4" w:rsidRDefault="005469C4" w:rsidP="005469C4">
      <w:pPr>
        <w:jc w:val="left"/>
        <w:rPr>
          <w:rFonts w:ascii="ＭＳ ゴシック" w:eastAsia="ＭＳ ゴシック" w:hAnsi="ＭＳ ゴシック"/>
          <w:sz w:val="24"/>
          <w:szCs w:val="24"/>
        </w:rPr>
      </w:pPr>
    </w:p>
    <w:sectPr w:rsidR="005469C4" w:rsidRPr="005469C4" w:rsidSect="005469C4">
      <w:pgSz w:w="11906" w:h="16838"/>
      <w:pgMar w:top="1134"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E3A"/>
    <w:rsid w:val="001712E6"/>
    <w:rsid w:val="003D2E3A"/>
    <w:rsid w:val="003E6DB3"/>
    <w:rsid w:val="005469C4"/>
    <w:rsid w:val="00AE7A6B"/>
    <w:rsid w:val="00BF2B79"/>
    <w:rsid w:val="00C62B05"/>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9022EC5-9A80-4E74-B0A1-35C07430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2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E7A6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E7A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662106">
      <w:bodyDiv w:val="1"/>
      <w:marLeft w:val="0"/>
      <w:marRight w:val="0"/>
      <w:marTop w:val="0"/>
      <w:marBottom w:val="0"/>
      <w:divBdr>
        <w:top w:val="none" w:sz="0" w:space="0" w:color="auto"/>
        <w:left w:val="none" w:sz="0" w:space="0" w:color="auto"/>
        <w:bottom w:val="none" w:sz="0" w:space="0" w:color="auto"/>
        <w:right w:val="none" w:sz="0" w:space="0" w:color="auto"/>
      </w:divBdr>
      <w:divsChild>
        <w:div w:id="2104455424">
          <w:marLeft w:val="0"/>
          <w:marRight w:val="0"/>
          <w:marTop w:val="0"/>
          <w:marBottom w:val="0"/>
          <w:divBdr>
            <w:top w:val="none" w:sz="0" w:space="0" w:color="auto"/>
            <w:left w:val="none" w:sz="0" w:space="0" w:color="auto"/>
            <w:bottom w:val="none" w:sz="0" w:space="0" w:color="auto"/>
            <w:right w:val="none" w:sz="0" w:space="0" w:color="auto"/>
          </w:divBdr>
          <w:divsChild>
            <w:div w:id="1247298675">
              <w:marLeft w:val="0"/>
              <w:marRight w:val="0"/>
              <w:marTop w:val="0"/>
              <w:marBottom w:val="0"/>
              <w:divBdr>
                <w:top w:val="none" w:sz="0" w:space="0" w:color="auto"/>
                <w:left w:val="none" w:sz="0" w:space="0" w:color="auto"/>
                <w:bottom w:val="none" w:sz="0" w:space="0" w:color="auto"/>
                <w:right w:val="none" w:sz="0" w:space="0" w:color="auto"/>
              </w:divBdr>
              <w:divsChild>
                <w:div w:id="815147663">
                  <w:marLeft w:val="0"/>
                  <w:marRight w:val="0"/>
                  <w:marTop w:val="0"/>
                  <w:marBottom w:val="0"/>
                  <w:divBdr>
                    <w:top w:val="none" w:sz="0" w:space="0" w:color="auto"/>
                    <w:left w:val="none" w:sz="0" w:space="0" w:color="auto"/>
                    <w:bottom w:val="none" w:sz="0" w:space="0" w:color="auto"/>
                    <w:right w:val="none" w:sz="0" w:space="0" w:color="auto"/>
                  </w:divBdr>
                  <w:divsChild>
                    <w:div w:id="268659634">
                      <w:marLeft w:val="0"/>
                      <w:marRight w:val="0"/>
                      <w:marTop w:val="0"/>
                      <w:marBottom w:val="0"/>
                      <w:divBdr>
                        <w:top w:val="none" w:sz="0" w:space="0" w:color="auto"/>
                        <w:left w:val="none" w:sz="0" w:space="0" w:color="auto"/>
                        <w:bottom w:val="none" w:sz="0" w:space="0" w:color="auto"/>
                        <w:right w:val="none" w:sz="0" w:space="0" w:color="auto"/>
                      </w:divBdr>
                      <w:divsChild>
                        <w:div w:id="175996487">
                          <w:marLeft w:val="0"/>
                          <w:marRight w:val="0"/>
                          <w:marTop w:val="0"/>
                          <w:marBottom w:val="0"/>
                          <w:divBdr>
                            <w:top w:val="none" w:sz="0" w:space="0" w:color="auto"/>
                            <w:left w:val="none" w:sz="0" w:space="0" w:color="auto"/>
                            <w:bottom w:val="none" w:sz="0" w:space="0" w:color="auto"/>
                            <w:right w:val="none" w:sz="0" w:space="0" w:color="auto"/>
                          </w:divBdr>
                          <w:divsChild>
                            <w:div w:id="53358292">
                              <w:marLeft w:val="0"/>
                              <w:marRight w:val="0"/>
                              <w:marTop w:val="0"/>
                              <w:marBottom w:val="0"/>
                              <w:divBdr>
                                <w:top w:val="none" w:sz="0" w:space="0" w:color="auto"/>
                                <w:left w:val="none" w:sz="0" w:space="0" w:color="auto"/>
                                <w:bottom w:val="none" w:sz="0" w:space="0" w:color="auto"/>
                                <w:right w:val="none" w:sz="0" w:space="0" w:color="auto"/>
                              </w:divBdr>
                              <w:divsChild>
                                <w:div w:id="342904858">
                                  <w:marLeft w:val="0"/>
                                  <w:marRight w:val="0"/>
                                  <w:marTop w:val="0"/>
                                  <w:marBottom w:val="0"/>
                                  <w:divBdr>
                                    <w:top w:val="none" w:sz="0" w:space="0" w:color="auto"/>
                                    <w:left w:val="none" w:sz="0" w:space="0" w:color="auto"/>
                                    <w:bottom w:val="none" w:sz="0" w:space="0" w:color="auto"/>
                                    <w:right w:val="none" w:sz="0" w:space="0" w:color="auto"/>
                                  </w:divBdr>
                                  <w:divsChild>
                                    <w:div w:id="1178302658">
                                      <w:marLeft w:val="0"/>
                                      <w:marRight w:val="0"/>
                                      <w:marTop w:val="0"/>
                                      <w:marBottom w:val="0"/>
                                      <w:divBdr>
                                        <w:top w:val="none" w:sz="0" w:space="0" w:color="auto"/>
                                        <w:left w:val="none" w:sz="0" w:space="0" w:color="auto"/>
                                        <w:bottom w:val="none" w:sz="0" w:space="0" w:color="auto"/>
                                        <w:right w:val="none" w:sz="0" w:space="0" w:color="auto"/>
                                      </w:divBdr>
                                    </w:div>
                                    <w:div w:id="1427920776">
                                      <w:marLeft w:val="0"/>
                                      <w:marRight w:val="0"/>
                                      <w:marTop w:val="0"/>
                                      <w:marBottom w:val="0"/>
                                      <w:divBdr>
                                        <w:top w:val="none" w:sz="0" w:space="0" w:color="auto"/>
                                        <w:left w:val="none" w:sz="0" w:space="0" w:color="auto"/>
                                        <w:bottom w:val="none" w:sz="0" w:space="0" w:color="auto"/>
                                        <w:right w:val="none" w:sz="0" w:space="0" w:color="auto"/>
                                      </w:divBdr>
                                    </w:div>
                                    <w:div w:id="319308990">
                                      <w:marLeft w:val="0"/>
                                      <w:marRight w:val="0"/>
                                      <w:marTop w:val="0"/>
                                      <w:marBottom w:val="0"/>
                                      <w:divBdr>
                                        <w:top w:val="none" w:sz="0" w:space="0" w:color="auto"/>
                                        <w:left w:val="none" w:sz="0" w:space="0" w:color="auto"/>
                                        <w:bottom w:val="none" w:sz="0" w:space="0" w:color="auto"/>
                                        <w:right w:val="none" w:sz="0" w:space="0" w:color="auto"/>
                                      </w:divBdr>
                                    </w:div>
                                    <w:div w:id="1260874466">
                                      <w:marLeft w:val="0"/>
                                      <w:marRight w:val="0"/>
                                      <w:marTop w:val="0"/>
                                      <w:marBottom w:val="0"/>
                                      <w:divBdr>
                                        <w:top w:val="none" w:sz="0" w:space="0" w:color="auto"/>
                                        <w:left w:val="none" w:sz="0" w:space="0" w:color="auto"/>
                                        <w:bottom w:val="none" w:sz="0" w:space="0" w:color="auto"/>
                                        <w:right w:val="none" w:sz="0" w:space="0" w:color="auto"/>
                                      </w:divBdr>
                                    </w:div>
                                    <w:div w:id="146628071">
                                      <w:marLeft w:val="0"/>
                                      <w:marRight w:val="0"/>
                                      <w:marTop w:val="0"/>
                                      <w:marBottom w:val="0"/>
                                      <w:divBdr>
                                        <w:top w:val="none" w:sz="0" w:space="0" w:color="auto"/>
                                        <w:left w:val="none" w:sz="0" w:space="0" w:color="auto"/>
                                        <w:bottom w:val="none" w:sz="0" w:space="0" w:color="auto"/>
                                        <w:right w:val="none" w:sz="0" w:space="0" w:color="auto"/>
                                      </w:divBdr>
                                    </w:div>
                                    <w:div w:id="263537703">
                                      <w:marLeft w:val="0"/>
                                      <w:marRight w:val="0"/>
                                      <w:marTop w:val="0"/>
                                      <w:marBottom w:val="0"/>
                                      <w:divBdr>
                                        <w:top w:val="none" w:sz="0" w:space="0" w:color="auto"/>
                                        <w:left w:val="none" w:sz="0" w:space="0" w:color="auto"/>
                                        <w:bottom w:val="none" w:sz="0" w:space="0" w:color="auto"/>
                                        <w:right w:val="none" w:sz="0" w:space="0" w:color="auto"/>
                                      </w:divBdr>
                                    </w:div>
                                    <w:div w:id="598029915">
                                      <w:marLeft w:val="0"/>
                                      <w:marRight w:val="0"/>
                                      <w:marTop w:val="0"/>
                                      <w:marBottom w:val="0"/>
                                      <w:divBdr>
                                        <w:top w:val="none" w:sz="0" w:space="0" w:color="auto"/>
                                        <w:left w:val="none" w:sz="0" w:space="0" w:color="auto"/>
                                        <w:bottom w:val="none" w:sz="0" w:space="0" w:color="auto"/>
                                        <w:right w:val="none" w:sz="0" w:space="0" w:color="auto"/>
                                      </w:divBdr>
                                    </w:div>
                                    <w:div w:id="1781872369">
                                      <w:marLeft w:val="0"/>
                                      <w:marRight w:val="0"/>
                                      <w:marTop w:val="0"/>
                                      <w:marBottom w:val="0"/>
                                      <w:divBdr>
                                        <w:top w:val="none" w:sz="0" w:space="0" w:color="auto"/>
                                        <w:left w:val="none" w:sz="0" w:space="0" w:color="auto"/>
                                        <w:bottom w:val="none" w:sz="0" w:space="0" w:color="auto"/>
                                        <w:right w:val="none" w:sz="0" w:space="0" w:color="auto"/>
                                      </w:divBdr>
                                    </w:div>
                                    <w:div w:id="1319378730">
                                      <w:marLeft w:val="0"/>
                                      <w:marRight w:val="0"/>
                                      <w:marTop w:val="0"/>
                                      <w:marBottom w:val="0"/>
                                      <w:divBdr>
                                        <w:top w:val="none" w:sz="0" w:space="0" w:color="auto"/>
                                        <w:left w:val="none" w:sz="0" w:space="0" w:color="auto"/>
                                        <w:bottom w:val="none" w:sz="0" w:space="0" w:color="auto"/>
                                        <w:right w:val="none" w:sz="0" w:space="0" w:color="auto"/>
                                      </w:divBdr>
                                    </w:div>
                                    <w:div w:id="610942349">
                                      <w:marLeft w:val="0"/>
                                      <w:marRight w:val="0"/>
                                      <w:marTop w:val="0"/>
                                      <w:marBottom w:val="0"/>
                                      <w:divBdr>
                                        <w:top w:val="none" w:sz="0" w:space="0" w:color="auto"/>
                                        <w:left w:val="none" w:sz="0" w:space="0" w:color="auto"/>
                                        <w:bottom w:val="none" w:sz="0" w:space="0" w:color="auto"/>
                                        <w:right w:val="none" w:sz="0" w:space="0" w:color="auto"/>
                                      </w:divBdr>
                                    </w:div>
                                    <w:div w:id="1654484696">
                                      <w:marLeft w:val="0"/>
                                      <w:marRight w:val="0"/>
                                      <w:marTop w:val="0"/>
                                      <w:marBottom w:val="0"/>
                                      <w:divBdr>
                                        <w:top w:val="none" w:sz="0" w:space="0" w:color="auto"/>
                                        <w:left w:val="none" w:sz="0" w:space="0" w:color="auto"/>
                                        <w:bottom w:val="none" w:sz="0" w:space="0" w:color="auto"/>
                                        <w:right w:val="none" w:sz="0" w:space="0" w:color="auto"/>
                                      </w:divBdr>
                                    </w:div>
                                    <w:div w:id="1939827049">
                                      <w:marLeft w:val="0"/>
                                      <w:marRight w:val="0"/>
                                      <w:marTop w:val="0"/>
                                      <w:marBottom w:val="0"/>
                                      <w:divBdr>
                                        <w:top w:val="none" w:sz="0" w:space="0" w:color="auto"/>
                                        <w:left w:val="none" w:sz="0" w:space="0" w:color="auto"/>
                                        <w:bottom w:val="none" w:sz="0" w:space="0" w:color="auto"/>
                                        <w:right w:val="none" w:sz="0" w:space="0" w:color="auto"/>
                                      </w:divBdr>
                                    </w:div>
                                    <w:div w:id="14623255">
                                      <w:marLeft w:val="0"/>
                                      <w:marRight w:val="0"/>
                                      <w:marTop w:val="0"/>
                                      <w:marBottom w:val="0"/>
                                      <w:divBdr>
                                        <w:top w:val="none" w:sz="0" w:space="0" w:color="auto"/>
                                        <w:left w:val="none" w:sz="0" w:space="0" w:color="auto"/>
                                        <w:bottom w:val="none" w:sz="0" w:space="0" w:color="auto"/>
                                        <w:right w:val="none" w:sz="0" w:space="0" w:color="auto"/>
                                      </w:divBdr>
                                    </w:div>
                                    <w:div w:id="1628968791">
                                      <w:marLeft w:val="0"/>
                                      <w:marRight w:val="0"/>
                                      <w:marTop w:val="0"/>
                                      <w:marBottom w:val="0"/>
                                      <w:divBdr>
                                        <w:top w:val="none" w:sz="0" w:space="0" w:color="auto"/>
                                        <w:left w:val="none" w:sz="0" w:space="0" w:color="auto"/>
                                        <w:bottom w:val="none" w:sz="0" w:space="0" w:color="auto"/>
                                        <w:right w:val="none" w:sz="0" w:space="0" w:color="auto"/>
                                      </w:divBdr>
                                    </w:div>
                                    <w:div w:id="1743290287">
                                      <w:marLeft w:val="0"/>
                                      <w:marRight w:val="0"/>
                                      <w:marTop w:val="0"/>
                                      <w:marBottom w:val="0"/>
                                      <w:divBdr>
                                        <w:top w:val="none" w:sz="0" w:space="0" w:color="auto"/>
                                        <w:left w:val="none" w:sz="0" w:space="0" w:color="auto"/>
                                        <w:bottom w:val="none" w:sz="0" w:space="0" w:color="auto"/>
                                        <w:right w:val="none" w:sz="0" w:space="0" w:color="auto"/>
                                      </w:divBdr>
                                    </w:div>
                                    <w:div w:id="431560372">
                                      <w:marLeft w:val="0"/>
                                      <w:marRight w:val="0"/>
                                      <w:marTop w:val="0"/>
                                      <w:marBottom w:val="0"/>
                                      <w:divBdr>
                                        <w:top w:val="none" w:sz="0" w:space="0" w:color="auto"/>
                                        <w:left w:val="none" w:sz="0" w:space="0" w:color="auto"/>
                                        <w:bottom w:val="none" w:sz="0" w:space="0" w:color="auto"/>
                                        <w:right w:val="none" w:sz="0" w:space="0" w:color="auto"/>
                                      </w:divBdr>
                                    </w:div>
                                    <w:div w:id="135725773">
                                      <w:marLeft w:val="0"/>
                                      <w:marRight w:val="0"/>
                                      <w:marTop w:val="0"/>
                                      <w:marBottom w:val="0"/>
                                      <w:divBdr>
                                        <w:top w:val="none" w:sz="0" w:space="0" w:color="auto"/>
                                        <w:left w:val="none" w:sz="0" w:space="0" w:color="auto"/>
                                        <w:bottom w:val="none" w:sz="0" w:space="0" w:color="auto"/>
                                        <w:right w:val="none" w:sz="0" w:space="0" w:color="auto"/>
                                      </w:divBdr>
                                    </w:div>
                                    <w:div w:id="1745489233">
                                      <w:marLeft w:val="0"/>
                                      <w:marRight w:val="0"/>
                                      <w:marTop w:val="0"/>
                                      <w:marBottom w:val="0"/>
                                      <w:divBdr>
                                        <w:top w:val="none" w:sz="0" w:space="0" w:color="auto"/>
                                        <w:left w:val="none" w:sz="0" w:space="0" w:color="auto"/>
                                        <w:bottom w:val="none" w:sz="0" w:space="0" w:color="auto"/>
                                        <w:right w:val="none" w:sz="0" w:space="0" w:color="auto"/>
                                      </w:divBdr>
                                    </w:div>
                                    <w:div w:id="1503012201">
                                      <w:marLeft w:val="0"/>
                                      <w:marRight w:val="0"/>
                                      <w:marTop w:val="0"/>
                                      <w:marBottom w:val="0"/>
                                      <w:divBdr>
                                        <w:top w:val="none" w:sz="0" w:space="0" w:color="auto"/>
                                        <w:left w:val="none" w:sz="0" w:space="0" w:color="auto"/>
                                        <w:bottom w:val="none" w:sz="0" w:space="0" w:color="auto"/>
                                        <w:right w:val="none" w:sz="0" w:space="0" w:color="auto"/>
                                      </w:divBdr>
                                    </w:div>
                                    <w:div w:id="909148040">
                                      <w:marLeft w:val="0"/>
                                      <w:marRight w:val="0"/>
                                      <w:marTop w:val="0"/>
                                      <w:marBottom w:val="0"/>
                                      <w:divBdr>
                                        <w:top w:val="none" w:sz="0" w:space="0" w:color="auto"/>
                                        <w:left w:val="none" w:sz="0" w:space="0" w:color="auto"/>
                                        <w:bottom w:val="none" w:sz="0" w:space="0" w:color="auto"/>
                                        <w:right w:val="none" w:sz="0" w:space="0" w:color="auto"/>
                                      </w:divBdr>
                                    </w:div>
                                    <w:div w:id="852449987">
                                      <w:marLeft w:val="0"/>
                                      <w:marRight w:val="0"/>
                                      <w:marTop w:val="0"/>
                                      <w:marBottom w:val="0"/>
                                      <w:divBdr>
                                        <w:top w:val="none" w:sz="0" w:space="0" w:color="auto"/>
                                        <w:left w:val="none" w:sz="0" w:space="0" w:color="auto"/>
                                        <w:bottom w:val="none" w:sz="0" w:space="0" w:color="auto"/>
                                        <w:right w:val="none" w:sz="0" w:space="0" w:color="auto"/>
                                      </w:divBdr>
                                    </w:div>
                                    <w:div w:id="124206160">
                                      <w:marLeft w:val="0"/>
                                      <w:marRight w:val="0"/>
                                      <w:marTop w:val="0"/>
                                      <w:marBottom w:val="0"/>
                                      <w:divBdr>
                                        <w:top w:val="none" w:sz="0" w:space="0" w:color="auto"/>
                                        <w:left w:val="none" w:sz="0" w:space="0" w:color="auto"/>
                                        <w:bottom w:val="none" w:sz="0" w:space="0" w:color="auto"/>
                                        <w:right w:val="none" w:sz="0" w:space="0" w:color="auto"/>
                                      </w:divBdr>
                                    </w:div>
                                    <w:div w:id="1538011535">
                                      <w:marLeft w:val="0"/>
                                      <w:marRight w:val="0"/>
                                      <w:marTop w:val="0"/>
                                      <w:marBottom w:val="0"/>
                                      <w:divBdr>
                                        <w:top w:val="none" w:sz="0" w:space="0" w:color="auto"/>
                                        <w:left w:val="none" w:sz="0" w:space="0" w:color="auto"/>
                                        <w:bottom w:val="none" w:sz="0" w:space="0" w:color="auto"/>
                                        <w:right w:val="none" w:sz="0" w:space="0" w:color="auto"/>
                                      </w:divBdr>
                                    </w:div>
                                    <w:div w:id="1563980635">
                                      <w:marLeft w:val="0"/>
                                      <w:marRight w:val="0"/>
                                      <w:marTop w:val="0"/>
                                      <w:marBottom w:val="0"/>
                                      <w:divBdr>
                                        <w:top w:val="none" w:sz="0" w:space="0" w:color="auto"/>
                                        <w:left w:val="none" w:sz="0" w:space="0" w:color="auto"/>
                                        <w:bottom w:val="none" w:sz="0" w:space="0" w:color="auto"/>
                                        <w:right w:val="none" w:sz="0" w:space="0" w:color="auto"/>
                                      </w:divBdr>
                                    </w:div>
                                    <w:div w:id="353194307">
                                      <w:marLeft w:val="0"/>
                                      <w:marRight w:val="0"/>
                                      <w:marTop w:val="0"/>
                                      <w:marBottom w:val="0"/>
                                      <w:divBdr>
                                        <w:top w:val="none" w:sz="0" w:space="0" w:color="auto"/>
                                        <w:left w:val="none" w:sz="0" w:space="0" w:color="auto"/>
                                        <w:bottom w:val="none" w:sz="0" w:space="0" w:color="auto"/>
                                        <w:right w:val="none" w:sz="0" w:space="0" w:color="auto"/>
                                      </w:divBdr>
                                    </w:div>
                                    <w:div w:id="565846581">
                                      <w:marLeft w:val="0"/>
                                      <w:marRight w:val="0"/>
                                      <w:marTop w:val="0"/>
                                      <w:marBottom w:val="0"/>
                                      <w:divBdr>
                                        <w:top w:val="none" w:sz="0" w:space="0" w:color="auto"/>
                                        <w:left w:val="none" w:sz="0" w:space="0" w:color="auto"/>
                                        <w:bottom w:val="none" w:sz="0" w:space="0" w:color="auto"/>
                                        <w:right w:val="none" w:sz="0" w:space="0" w:color="auto"/>
                                      </w:divBdr>
                                    </w:div>
                                    <w:div w:id="1757706731">
                                      <w:marLeft w:val="0"/>
                                      <w:marRight w:val="0"/>
                                      <w:marTop w:val="0"/>
                                      <w:marBottom w:val="0"/>
                                      <w:divBdr>
                                        <w:top w:val="none" w:sz="0" w:space="0" w:color="auto"/>
                                        <w:left w:val="none" w:sz="0" w:space="0" w:color="auto"/>
                                        <w:bottom w:val="none" w:sz="0" w:space="0" w:color="auto"/>
                                        <w:right w:val="none" w:sz="0" w:space="0" w:color="auto"/>
                                      </w:divBdr>
                                    </w:div>
                                    <w:div w:id="12666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269</Words>
  <Characters>1539</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