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3F5DF" w14:textId="5E8BBAFB" w:rsidR="007F4094" w:rsidRDefault="007F236E" w:rsidP="007F4094">
      <w:pPr>
        <w:jc w:val="center"/>
      </w:pPr>
      <w:bookmarkStart w:id="0" w:name="_GoBack"/>
      <w:bookmarkEnd w:id="0"/>
      <w:r>
        <w:rPr>
          <w:rFonts w:hint="eastAsia"/>
        </w:rPr>
        <w:t>ポリファーマシー対策チーム</w:t>
      </w:r>
      <w:r w:rsidR="007F4094">
        <w:rPr>
          <w:rFonts w:hint="eastAsia"/>
        </w:rPr>
        <w:t>運営</w:t>
      </w:r>
      <w:r w:rsidR="003D20B1" w:rsidRPr="003D20B1">
        <w:rPr>
          <w:rFonts w:hint="eastAsia"/>
        </w:rPr>
        <w:t>要領</w:t>
      </w:r>
    </w:p>
    <w:p w14:paraId="729C2900" w14:textId="77777777" w:rsidR="007F4094" w:rsidRPr="007F236E" w:rsidRDefault="007F4094" w:rsidP="007F4094">
      <w:pPr>
        <w:jc w:val="center"/>
      </w:pPr>
    </w:p>
    <w:p w14:paraId="6BDDDFA8" w14:textId="77777777" w:rsidR="007F4094" w:rsidRDefault="007F4094" w:rsidP="007F4094">
      <w:r>
        <w:rPr>
          <w:rFonts w:hint="eastAsia"/>
        </w:rPr>
        <w:t>【目的】</w:t>
      </w:r>
    </w:p>
    <w:p w14:paraId="39DA1735" w14:textId="2CD2CE51" w:rsidR="007F4094" w:rsidRDefault="007F236E" w:rsidP="007F4094">
      <w:r>
        <w:rPr>
          <w:rFonts w:hint="eastAsia"/>
        </w:rPr>
        <w:t>ポリファーマシー対策チームは</w:t>
      </w:r>
      <w:r w:rsidR="007F4094">
        <w:t>院内の</w:t>
      </w:r>
      <w:r w:rsidR="007F4094">
        <w:rPr>
          <w:rFonts w:hint="eastAsia"/>
        </w:rPr>
        <w:t>薬物療法適正化</w:t>
      </w:r>
      <w:r w:rsidR="003D20B1">
        <w:rPr>
          <w:rFonts w:hint="eastAsia"/>
        </w:rPr>
        <w:t>、特にポリファーマシーに</w:t>
      </w:r>
      <w:r w:rsidR="008536BB">
        <w:rPr>
          <w:rFonts w:hint="eastAsia"/>
        </w:rPr>
        <w:t>関して</w:t>
      </w:r>
      <w:r w:rsidR="007F4094">
        <w:t>情報収集・監視・教育・指導および介入の役割を担う。</w:t>
      </w:r>
    </w:p>
    <w:p w14:paraId="7EB92ABC" w14:textId="77777777" w:rsidR="007F4094" w:rsidRPr="008536BB" w:rsidRDefault="007F4094" w:rsidP="007F4094"/>
    <w:p w14:paraId="20A97060" w14:textId="77777777" w:rsidR="007F4094" w:rsidRDefault="007F4094" w:rsidP="007F4094">
      <w:r>
        <w:rPr>
          <w:rFonts w:hint="eastAsia"/>
        </w:rPr>
        <w:t>【構成】</w:t>
      </w:r>
    </w:p>
    <w:p w14:paraId="1F48D2F1" w14:textId="77E20564" w:rsidR="007F4094" w:rsidRDefault="007F236E" w:rsidP="007F4094">
      <w:r>
        <w:rPr>
          <w:rFonts w:hint="eastAsia"/>
        </w:rPr>
        <w:t>ポリファーマシー対策チーム</w:t>
      </w:r>
      <w:r w:rsidR="007F4094">
        <w:rPr>
          <w:rFonts w:hint="eastAsia"/>
        </w:rPr>
        <w:t>は、</w:t>
      </w:r>
      <w:bookmarkStart w:id="1" w:name="_Hlk6241572"/>
      <w:r w:rsidR="007F4094">
        <w:rPr>
          <w:rFonts w:hint="eastAsia"/>
        </w:rPr>
        <w:t>老年内科</w:t>
      </w:r>
      <w:r>
        <w:rPr>
          <w:rFonts w:hint="eastAsia"/>
        </w:rPr>
        <w:t>（代謝内科を含む）</w:t>
      </w:r>
      <w:r w:rsidR="007F4094">
        <w:rPr>
          <w:rFonts w:hint="eastAsia"/>
        </w:rPr>
        <w:t>、循環器内科</w:t>
      </w:r>
      <w:r w:rsidR="007F4094">
        <w:t>、</w:t>
      </w:r>
      <w:r w:rsidR="007F4094">
        <w:rPr>
          <w:rFonts w:hint="eastAsia"/>
        </w:rPr>
        <w:t>リハビリテーション科、薬剤部</w:t>
      </w:r>
      <w:r w:rsidR="007F4094">
        <w:t>、</w:t>
      </w:r>
      <w:r w:rsidR="007F4094">
        <w:rPr>
          <w:rFonts w:hint="eastAsia"/>
        </w:rPr>
        <w:t>看護部、栄養管理部</w:t>
      </w:r>
      <w:r w:rsidR="00EE5B70">
        <w:rPr>
          <w:rFonts w:hint="eastAsia"/>
        </w:rPr>
        <w:t>から</w:t>
      </w:r>
      <w:r w:rsidR="007F4094">
        <w:rPr>
          <w:rFonts w:hint="eastAsia"/>
        </w:rPr>
        <w:t>指名されたメンバー</w:t>
      </w:r>
      <w:bookmarkEnd w:id="1"/>
      <w:r w:rsidR="007F4094">
        <w:rPr>
          <w:rFonts w:hint="eastAsia"/>
        </w:rPr>
        <w:t>で</w:t>
      </w:r>
      <w:r w:rsidR="007F4094">
        <w:t>構成される。</w:t>
      </w:r>
    </w:p>
    <w:p w14:paraId="47D126A4" w14:textId="77777777" w:rsidR="007F4094" w:rsidRPr="00EE5B70" w:rsidRDefault="007F4094" w:rsidP="007F4094"/>
    <w:p w14:paraId="3DC4392B" w14:textId="77777777" w:rsidR="007F4094" w:rsidRDefault="007F4094" w:rsidP="007F4094">
      <w:r>
        <w:rPr>
          <w:rFonts w:hint="eastAsia"/>
        </w:rPr>
        <w:t>【運営】</w:t>
      </w:r>
    </w:p>
    <w:p w14:paraId="2BD20D6D" w14:textId="2813672E" w:rsidR="007F4094" w:rsidRDefault="003D20B1" w:rsidP="00EE5B70">
      <w:r>
        <w:rPr>
          <w:rFonts w:hint="eastAsia"/>
        </w:rPr>
        <w:t>チーム</w:t>
      </w:r>
      <w:r w:rsidR="00F76C5B">
        <w:rPr>
          <w:rFonts w:hint="eastAsia"/>
        </w:rPr>
        <w:t>運営に関する事務局は薬剤部が担当する。</w:t>
      </w:r>
      <w:r>
        <w:rPr>
          <w:rFonts w:hint="eastAsia"/>
        </w:rPr>
        <w:t>チームリーダーは、</w:t>
      </w:r>
      <w:r w:rsidR="00C624B3">
        <w:rPr>
          <w:rFonts w:hint="eastAsia"/>
        </w:rPr>
        <w:t>●●</w:t>
      </w:r>
      <w:r w:rsidR="008536BB">
        <w:rPr>
          <w:rFonts w:hint="eastAsia"/>
        </w:rPr>
        <w:t>とする。</w:t>
      </w:r>
    </w:p>
    <w:p w14:paraId="3459CA2B" w14:textId="77777777" w:rsidR="008536BB" w:rsidRDefault="00EE5B70" w:rsidP="007F4094">
      <w:r>
        <w:rPr>
          <w:rFonts w:hint="eastAsia"/>
        </w:rPr>
        <w:t>院内の</w:t>
      </w:r>
      <w:r w:rsidR="008536BB">
        <w:rPr>
          <w:rFonts w:hint="eastAsia"/>
        </w:rPr>
        <w:t>ポリファーマシー患者に対するカンファランスを</w:t>
      </w:r>
      <w:r w:rsidR="007F4094">
        <w:rPr>
          <w:rFonts w:hint="eastAsia"/>
        </w:rPr>
        <w:t>行い、</w:t>
      </w:r>
      <w:r w:rsidR="008536BB">
        <w:rPr>
          <w:rFonts w:hint="eastAsia"/>
        </w:rPr>
        <w:t>薬物有害事象やアドヒアランスの不良などポリファーマシー関連する問題に対して</w:t>
      </w:r>
      <w:r w:rsidR="007F4094">
        <w:t>状況を把握</w:t>
      </w:r>
      <w:r w:rsidR="008536BB">
        <w:rPr>
          <w:rFonts w:hint="eastAsia"/>
        </w:rPr>
        <w:t>し、主治医に対し助言</w:t>
      </w:r>
      <w:r w:rsidR="007F4094">
        <w:t>を行う。</w:t>
      </w:r>
      <w:r w:rsidR="008536BB">
        <w:rPr>
          <w:rFonts w:hint="eastAsia"/>
        </w:rPr>
        <w:t>主に薬剤部で院内のポリファーマシー患者に対する監視を行い、適宜カンファランスを行うものとする。また、必要に応じてコンサルテーション等に応じることとする。また、年間の処方の動向などを把握するとともに院内での有害事象の発生状況の動向を把握することとする。</w:t>
      </w:r>
    </w:p>
    <w:p w14:paraId="73AD969B" w14:textId="77777777" w:rsidR="008536BB" w:rsidRDefault="008536BB" w:rsidP="007F4094"/>
    <w:p w14:paraId="6577A0FB" w14:textId="77777777" w:rsidR="00F76C5B" w:rsidRDefault="00F76C5B" w:rsidP="007F4094">
      <w:r>
        <w:rPr>
          <w:rFonts w:hint="eastAsia"/>
        </w:rPr>
        <w:t>【ポリファーマシーについて】</w:t>
      </w:r>
    </w:p>
    <w:p w14:paraId="3967B3F2" w14:textId="77777777" w:rsidR="00F76C5B" w:rsidRDefault="00F76C5B" w:rsidP="007F4094">
      <w:r>
        <w:rPr>
          <w:rFonts w:hint="eastAsia"/>
        </w:rPr>
        <w:t>院内で対応するポリファーマシー患者は、</w:t>
      </w:r>
      <w:r w:rsidR="00407A88">
        <w:rPr>
          <w:rFonts w:hint="eastAsia"/>
        </w:rPr>
        <w:t>6剤以上など一律の薬剤数で対応する患者を規定するのではなく、</w:t>
      </w:r>
      <w:r>
        <w:rPr>
          <w:rFonts w:hint="eastAsia"/>
        </w:rPr>
        <w:t>厚生労働省　高齢者の医薬品適正使用の指針（総論編）に準じ、「</w:t>
      </w:r>
      <w:r w:rsidRPr="00F76C5B">
        <w:rPr>
          <w:rFonts w:hint="eastAsia"/>
        </w:rPr>
        <w:t>薬物有害事象、</w:t>
      </w:r>
      <w:r>
        <w:rPr>
          <w:rFonts w:hint="eastAsia"/>
        </w:rPr>
        <w:t>服薬</w:t>
      </w:r>
      <w:r w:rsidRPr="00F76C5B">
        <w:rPr>
          <w:rFonts w:hint="eastAsia"/>
        </w:rPr>
        <w:t>アドヒアランス不良</w:t>
      </w:r>
      <w:r>
        <w:rPr>
          <w:rFonts w:hint="eastAsia"/>
        </w:rPr>
        <w:t>、</w:t>
      </w:r>
      <w:r w:rsidRPr="00F76C5B">
        <w:rPr>
          <w:rFonts w:hint="eastAsia"/>
        </w:rPr>
        <w:t>不要な処方、あるいは必要な薬が処方されない、過量・重複投与など薬剤のあらゆる不適正問題を含む概念</w:t>
      </w:r>
      <w:r>
        <w:rPr>
          <w:rFonts w:hint="eastAsia"/>
        </w:rPr>
        <w:t>」として</w:t>
      </w:r>
      <w:r w:rsidR="00407A88">
        <w:rPr>
          <w:rFonts w:hint="eastAsia"/>
        </w:rPr>
        <w:t>捉え、</w:t>
      </w:r>
      <w:r w:rsidR="00407A88" w:rsidRPr="00407A88">
        <w:rPr>
          <w:rFonts w:hint="eastAsia"/>
        </w:rPr>
        <w:t>多剤併用</w:t>
      </w:r>
      <w:r w:rsidR="00407A88">
        <w:rPr>
          <w:rFonts w:hint="eastAsia"/>
        </w:rPr>
        <w:t>患者の中でも薬が</w:t>
      </w:r>
      <w:r w:rsidR="00407A88" w:rsidRPr="00407A88">
        <w:rPr>
          <w:rFonts w:hint="eastAsia"/>
        </w:rPr>
        <w:t>害をな</w:t>
      </w:r>
      <w:r w:rsidR="00407A88">
        <w:rPr>
          <w:rFonts w:hint="eastAsia"/>
        </w:rPr>
        <w:t>している患者に対応することとする。</w:t>
      </w:r>
    </w:p>
    <w:p w14:paraId="5A6F20EE" w14:textId="77777777" w:rsidR="00407A88" w:rsidRPr="00407A88" w:rsidRDefault="00407A88" w:rsidP="007F4094">
      <w:r>
        <w:rPr>
          <w:rFonts w:hint="eastAsia"/>
        </w:rPr>
        <w:t>問題のあるポリファーマシー例</w:t>
      </w:r>
    </w:p>
    <w:p w14:paraId="744F3861" w14:textId="77777777" w:rsidR="00407A88" w:rsidRPr="00407A88" w:rsidRDefault="00407A88" w:rsidP="00407A88">
      <w:r>
        <w:rPr>
          <w:rFonts w:hint="eastAsia"/>
        </w:rPr>
        <w:t>・</w:t>
      </w:r>
      <w:r w:rsidRPr="00407A88">
        <w:rPr>
          <w:rFonts w:hint="eastAsia"/>
        </w:rPr>
        <w:t>薬物有害事象の発現・処方カスケード</w:t>
      </w:r>
    </w:p>
    <w:p w14:paraId="1E32CCFD" w14:textId="77777777" w:rsidR="00407A88" w:rsidRPr="00407A88" w:rsidRDefault="00407A88" w:rsidP="00407A88">
      <w:r>
        <w:rPr>
          <w:rFonts w:hint="eastAsia"/>
        </w:rPr>
        <w:t>・</w:t>
      </w:r>
      <w:r w:rsidRPr="00407A88">
        <w:t>10剤以上服用（Super-polypharmacy）</w:t>
      </w:r>
    </w:p>
    <w:p w14:paraId="1DEEC12E" w14:textId="77777777" w:rsidR="00407A88" w:rsidRPr="00407A88" w:rsidRDefault="00407A88" w:rsidP="00407A88">
      <w:r>
        <w:rPr>
          <w:rFonts w:hint="eastAsia"/>
        </w:rPr>
        <w:t>・</w:t>
      </w:r>
      <w:r w:rsidRPr="00407A88">
        <w:rPr>
          <w:rFonts w:hint="eastAsia"/>
        </w:rPr>
        <w:t>一次予防・対症療法の漫然処方</w:t>
      </w:r>
    </w:p>
    <w:p w14:paraId="6B75CF2F" w14:textId="77777777" w:rsidR="00407A88" w:rsidRPr="00407A88" w:rsidRDefault="00407A88" w:rsidP="00407A88">
      <w:r>
        <w:rPr>
          <w:rFonts w:hint="eastAsia"/>
        </w:rPr>
        <w:t>・</w:t>
      </w:r>
      <w:r w:rsidRPr="00407A88">
        <w:rPr>
          <w:rFonts w:hint="eastAsia"/>
        </w:rPr>
        <w:t>処方意図</w:t>
      </w:r>
      <w:r w:rsidR="00EE5B70">
        <w:rPr>
          <w:rFonts w:hint="eastAsia"/>
        </w:rPr>
        <w:t>が</w:t>
      </w:r>
      <w:r w:rsidRPr="00407A88">
        <w:rPr>
          <w:rFonts w:hint="eastAsia"/>
        </w:rPr>
        <w:t>不明な薬の存在</w:t>
      </w:r>
    </w:p>
    <w:p w14:paraId="219A373C" w14:textId="77777777" w:rsidR="00407A88" w:rsidRPr="00407A88" w:rsidRDefault="00407A88" w:rsidP="00407A88">
      <w:r>
        <w:rPr>
          <w:rFonts w:hint="eastAsia"/>
        </w:rPr>
        <w:t>・</w:t>
      </w:r>
      <w:r w:rsidRPr="00407A88">
        <w:rPr>
          <w:rFonts w:hint="eastAsia"/>
        </w:rPr>
        <w:t>必要な薬が処方されていない</w:t>
      </w:r>
    </w:p>
    <w:p w14:paraId="3445C7B3" w14:textId="77777777" w:rsidR="00407A88" w:rsidRPr="00407A88" w:rsidRDefault="00407A88" w:rsidP="00407A88">
      <w:r>
        <w:rPr>
          <w:rFonts w:hint="eastAsia"/>
        </w:rPr>
        <w:t>・</w:t>
      </w:r>
      <w:r w:rsidRPr="00407A88">
        <w:rPr>
          <w:rFonts w:hint="eastAsia"/>
        </w:rPr>
        <w:t>服薬アドヒアランスの低下</w:t>
      </w:r>
    </w:p>
    <w:p w14:paraId="740ADBC4" w14:textId="77777777" w:rsidR="00407A88" w:rsidRDefault="00407A88" w:rsidP="00407A88">
      <w:r>
        <w:rPr>
          <w:rFonts w:hint="eastAsia"/>
        </w:rPr>
        <w:t>・</w:t>
      </w:r>
      <w:r w:rsidRPr="00407A88">
        <w:rPr>
          <w:rFonts w:hint="eastAsia"/>
        </w:rPr>
        <w:t>患者が処方を欲する場合</w:t>
      </w:r>
      <w:r w:rsidR="00EE5B70">
        <w:rPr>
          <w:rFonts w:hint="eastAsia"/>
        </w:rPr>
        <w:t>など</w:t>
      </w:r>
    </w:p>
    <w:p w14:paraId="5F9DE1D1" w14:textId="77777777" w:rsidR="00F76C5B" w:rsidRDefault="00F76C5B" w:rsidP="007F4094"/>
    <w:p w14:paraId="46ECF341" w14:textId="77777777" w:rsidR="007F4094" w:rsidRDefault="007F4094" w:rsidP="007F4094">
      <w:r>
        <w:rPr>
          <w:rFonts w:hint="eastAsia"/>
        </w:rPr>
        <w:t>【カンファランス】</w:t>
      </w:r>
    </w:p>
    <w:p w14:paraId="0B3CE6C6" w14:textId="77777777" w:rsidR="007F4094" w:rsidRDefault="00EE5B70" w:rsidP="007F4094">
      <w:r>
        <w:rPr>
          <w:rFonts w:hint="eastAsia"/>
        </w:rPr>
        <w:t>第4週の火曜日を除く、</w:t>
      </w:r>
      <w:r w:rsidR="007F4094">
        <w:rPr>
          <w:rFonts w:hint="eastAsia"/>
        </w:rPr>
        <w:t>毎週火曜日　8：45</w:t>
      </w:r>
      <w:r w:rsidR="007F4094">
        <w:t xml:space="preserve">～　</w:t>
      </w:r>
      <w:r w:rsidR="007F4094">
        <w:rPr>
          <w:rFonts w:hint="eastAsia"/>
        </w:rPr>
        <w:t>症例カンファランス</w:t>
      </w:r>
    </w:p>
    <w:p w14:paraId="3A6DEB75" w14:textId="77777777" w:rsidR="00F76C5B" w:rsidRDefault="00F76C5B" w:rsidP="007F4094">
      <w:r>
        <w:rPr>
          <w:rFonts w:hint="eastAsia"/>
        </w:rPr>
        <w:lastRenderedPageBreak/>
        <w:t>・ポリファーマシー患者に対する処方提案</w:t>
      </w:r>
    </w:p>
    <w:p w14:paraId="25EEC3D1" w14:textId="77777777" w:rsidR="007F4094" w:rsidRDefault="007F4094" w:rsidP="007F4094"/>
    <w:p w14:paraId="53DAFA5F" w14:textId="363CAAEC" w:rsidR="007F4094" w:rsidRDefault="007F4094" w:rsidP="007F4094">
      <w:r>
        <w:rPr>
          <w:rFonts w:hint="eastAsia"/>
        </w:rPr>
        <w:t>【</w:t>
      </w:r>
      <w:r w:rsidR="007F236E">
        <w:rPr>
          <w:rFonts w:hint="eastAsia"/>
        </w:rPr>
        <w:t>ポリファーマシー対策チーム</w:t>
      </w:r>
      <w:r>
        <w:rPr>
          <w:rFonts w:hint="eastAsia"/>
        </w:rPr>
        <w:t>運営会議</w:t>
      </w:r>
      <w:r>
        <w:t>】</w:t>
      </w:r>
    </w:p>
    <w:p w14:paraId="12C3F95D" w14:textId="77777777" w:rsidR="007F4094" w:rsidRDefault="007F4094" w:rsidP="007F4094">
      <w:r>
        <w:rPr>
          <w:rFonts w:hint="eastAsia"/>
        </w:rPr>
        <w:t>年1回　毎年5月</w:t>
      </w:r>
      <w:r w:rsidR="00FB0F4F">
        <w:rPr>
          <w:rFonts w:hint="eastAsia"/>
        </w:rPr>
        <w:t>3</w:t>
      </w:r>
      <w:r>
        <w:rPr>
          <w:rFonts w:hint="eastAsia"/>
        </w:rPr>
        <w:t>週火曜日</w:t>
      </w:r>
    </w:p>
    <w:p w14:paraId="03421904" w14:textId="77777777" w:rsidR="00F76C5B" w:rsidRDefault="007F4094" w:rsidP="007F4094">
      <w:r>
        <w:rPr>
          <w:rFonts w:hint="eastAsia"/>
        </w:rPr>
        <w:t>年度で対応した患者数と処方変化及びチーム運営に関する内容を協議</w:t>
      </w:r>
      <w:r w:rsidR="008536BB">
        <w:rPr>
          <w:rFonts w:hint="eastAsia"/>
        </w:rPr>
        <w:t>する。</w:t>
      </w:r>
    </w:p>
    <w:p w14:paraId="19C652B9" w14:textId="77777777" w:rsidR="008536BB" w:rsidRDefault="008536BB" w:rsidP="007F4094"/>
    <w:p w14:paraId="68603363" w14:textId="77777777" w:rsidR="007F4094" w:rsidRDefault="007F4094" w:rsidP="007F4094">
      <w:r>
        <w:rPr>
          <w:rFonts w:hint="eastAsia"/>
        </w:rPr>
        <w:t>【各メンバーの役割】</w:t>
      </w:r>
    </w:p>
    <w:p w14:paraId="4DA045F0" w14:textId="77777777" w:rsidR="007F4094" w:rsidRPr="008536BB" w:rsidRDefault="00F76C5B" w:rsidP="007F4094">
      <w:pPr>
        <w:rPr>
          <w:b/>
        </w:rPr>
      </w:pPr>
      <w:r w:rsidRPr="008536BB">
        <w:rPr>
          <w:rFonts w:hint="eastAsia"/>
          <w:b/>
        </w:rPr>
        <w:t>老年内科</w:t>
      </w:r>
    </w:p>
    <w:p w14:paraId="18A7F463" w14:textId="77777777" w:rsidR="00F76C5B" w:rsidRPr="00F76C5B" w:rsidRDefault="00F76C5B" w:rsidP="00F76C5B">
      <w:pPr>
        <w:pStyle w:val="a3"/>
        <w:numPr>
          <w:ilvl w:val="0"/>
          <w:numId w:val="2"/>
        </w:numPr>
        <w:ind w:leftChars="0"/>
      </w:pPr>
      <w:r w:rsidRPr="00F76C5B">
        <w:rPr>
          <w:rFonts w:hint="eastAsia"/>
        </w:rPr>
        <w:t>総合診療科としての処方に対する包括的なアプローチ</w:t>
      </w:r>
    </w:p>
    <w:p w14:paraId="7E573887" w14:textId="77777777" w:rsidR="00F76C5B" w:rsidRPr="00F76C5B" w:rsidRDefault="00F76C5B" w:rsidP="00F76C5B">
      <w:r w:rsidRPr="00F76C5B">
        <w:t>Multimorbidな患者における処方の優先順位の決定、年齢に応じた　処方量の変更､エンドオブライフを見据えた治療方針</w:t>
      </w:r>
    </w:p>
    <w:p w14:paraId="73208694" w14:textId="77777777" w:rsidR="00F76C5B" w:rsidRPr="00F76C5B" w:rsidRDefault="00F76C5B" w:rsidP="00F76C5B">
      <w:pPr>
        <w:pStyle w:val="a3"/>
        <w:numPr>
          <w:ilvl w:val="0"/>
          <w:numId w:val="2"/>
        </w:numPr>
        <w:ind w:leftChars="0"/>
      </w:pPr>
      <w:r w:rsidRPr="00F76C5B">
        <w:rPr>
          <w:rFonts w:hint="eastAsia"/>
        </w:rPr>
        <w:t>高齢者総合機能評価（認知機能やフレイルなど）</w:t>
      </w:r>
    </w:p>
    <w:p w14:paraId="41D7DF91" w14:textId="77777777" w:rsidR="00F76C5B" w:rsidRPr="00F76C5B" w:rsidRDefault="00F76C5B" w:rsidP="00F76C5B">
      <w:r w:rsidRPr="00F76C5B">
        <w:rPr>
          <w:rFonts w:hint="eastAsia"/>
        </w:rPr>
        <w:t>認知機能やフレイル、サルコペニアの存在による処方の変更</w:t>
      </w:r>
    </w:p>
    <w:p w14:paraId="11A884A3" w14:textId="77777777" w:rsidR="00F76C5B" w:rsidRPr="00F76C5B" w:rsidRDefault="00F76C5B" w:rsidP="00F76C5B">
      <w:pPr>
        <w:pStyle w:val="a3"/>
        <w:numPr>
          <w:ilvl w:val="0"/>
          <w:numId w:val="2"/>
        </w:numPr>
        <w:ind w:leftChars="0"/>
      </w:pPr>
      <w:r w:rsidRPr="00F76C5B">
        <w:rPr>
          <w:rFonts w:hint="eastAsia"/>
        </w:rPr>
        <w:t>他科との連携に関して</w:t>
      </w:r>
    </w:p>
    <w:p w14:paraId="08F51538" w14:textId="77777777" w:rsidR="00F76C5B" w:rsidRPr="00F76C5B" w:rsidRDefault="00F76C5B" w:rsidP="00F76C5B">
      <w:r w:rsidRPr="00F76C5B">
        <w:rPr>
          <w:rFonts w:hint="eastAsia"/>
        </w:rPr>
        <w:t>院内他科、院外施設との連携、啓発</w:t>
      </w:r>
    </w:p>
    <w:p w14:paraId="3D3BBB11" w14:textId="77777777" w:rsidR="00F76C5B" w:rsidRPr="00F76C5B" w:rsidRDefault="00F76C5B" w:rsidP="00F76C5B">
      <w:pPr>
        <w:pStyle w:val="a3"/>
        <w:numPr>
          <w:ilvl w:val="0"/>
          <w:numId w:val="2"/>
        </w:numPr>
        <w:ind w:leftChars="0"/>
      </w:pPr>
      <w:r w:rsidRPr="00F76C5B">
        <w:rPr>
          <w:rFonts w:hint="eastAsia"/>
        </w:rPr>
        <w:t>退院先（在宅・施設）との連携に関して</w:t>
      </w:r>
    </w:p>
    <w:p w14:paraId="37845E15" w14:textId="77777777" w:rsidR="00F76C5B" w:rsidRDefault="00F76C5B" w:rsidP="00F76C5B">
      <w:r w:rsidRPr="00F76C5B">
        <w:rPr>
          <w:rFonts w:hint="eastAsia"/>
        </w:rPr>
        <w:t>退院支援との連携</w:t>
      </w:r>
    </w:p>
    <w:p w14:paraId="40C34DC9" w14:textId="77777777" w:rsidR="008536BB" w:rsidRDefault="008536BB" w:rsidP="00F76C5B"/>
    <w:p w14:paraId="1F8BED5D" w14:textId="77777777" w:rsidR="00F76C5B" w:rsidRPr="008536BB" w:rsidRDefault="00F76C5B" w:rsidP="00F76C5B">
      <w:pPr>
        <w:rPr>
          <w:b/>
        </w:rPr>
      </w:pPr>
      <w:r w:rsidRPr="008536BB">
        <w:rPr>
          <w:rFonts w:hint="eastAsia"/>
          <w:b/>
        </w:rPr>
        <w:t>循環器内科</w:t>
      </w:r>
    </w:p>
    <w:p w14:paraId="561DDE5A" w14:textId="77777777" w:rsidR="00F76C5B" w:rsidRPr="00F76C5B" w:rsidRDefault="00F76C5B" w:rsidP="00F76C5B">
      <w:pPr>
        <w:pStyle w:val="a3"/>
        <w:numPr>
          <w:ilvl w:val="0"/>
          <w:numId w:val="3"/>
        </w:numPr>
        <w:ind w:leftChars="0"/>
      </w:pPr>
      <w:r w:rsidRPr="00F76C5B">
        <w:rPr>
          <w:rFonts w:hint="eastAsia"/>
        </w:rPr>
        <w:t>循環器疾患診断の妥当性に関する評価・・・不適切処方薬の中止</w:t>
      </w:r>
    </w:p>
    <w:p w14:paraId="52E80D2B" w14:textId="77777777" w:rsidR="00F76C5B" w:rsidRPr="00F76C5B" w:rsidRDefault="00F76C5B" w:rsidP="00F76C5B">
      <w:pPr>
        <w:pStyle w:val="a3"/>
        <w:numPr>
          <w:ilvl w:val="0"/>
          <w:numId w:val="3"/>
        </w:numPr>
        <w:ind w:leftChars="0"/>
      </w:pPr>
      <w:r w:rsidRPr="00F76C5B">
        <w:rPr>
          <w:rFonts w:hint="eastAsia"/>
        </w:rPr>
        <w:t>循環器系薬剤内服による治療意義の判定・・</w:t>
      </w:r>
      <w:r w:rsidRPr="00F76C5B">
        <w:t xml:space="preserve"> 治療薬の変更や中止</w:t>
      </w:r>
    </w:p>
    <w:p w14:paraId="2B4E08BC" w14:textId="77777777" w:rsidR="00F76C5B" w:rsidRPr="00F76C5B" w:rsidRDefault="00F76C5B" w:rsidP="00F76C5B">
      <w:pPr>
        <w:pStyle w:val="a3"/>
        <w:numPr>
          <w:ilvl w:val="0"/>
          <w:numId w:val="3"/>
        </w:numPr>
        <w:ind w:leftChars="0"/>
      </w:pPr>
      <w:r w:rsidRPr="00F76C5B">
        <w:rPr>
          <w:rFonts w:hint="eastAsia"/>
        </w:rPr>
        <w:t>循環器系薬剤内服による治療効果判定・・・無効薬の中止や変更</w:t>
      </w:r>
    </w:p>
    <w:p w14:paraId="6BB1CD2A" w14:textId="77777777" w:rsidR="00F76C5B" w:rsidRDefault="00F76C5B" w:rsidP="00F76C5B">
      <w:pPr>
        <w:pStyle w:val="a3"/>
        <w:numPr>
          <w:ilvl w:val="0"/>
          <w:numId w:val="3"/>
        </w:numPr>
        <w:ind w:leftChars="0"/>
      </w:pPr>
      <w:r w:rsidRPr="00F76C5B">
        <w:rPr>
          <w:rFonts w:hint="eastAsia"/>
        </w:rPr>
        <w:t>循環器系薬剤内服による有害事象対応・・・中止や代替薬への変更</w:t>
      </w:r>
    </w:p>
    <w:p w14:paraId="1F18BF4B" w14:textId="77777777" w:rsidR="00F76C5B" w:rsidRDefault="00F76C5B" w:rsidP="00F76C5B"/>
    <w:p w14:paraId="136F5D9E" w14:textId="77777777" w:rsidR="00EE5B70" w:rsidRPr="008536BB" w:rsidRDefault="00EE5B70" w:rsidP="00F76C5B">
      <w:pPr>
        <w:rPr>
          <w:b/>
        </w:rPr>
      </w:pPr>
      <w:r w:rsidRPr="008536BB">
        <w:rPr>
          <w:rFonts w:hint="eastAsia"/>
          <w:b/>
        </w:rPr>
        <w:t>リハビリテーション科</w:t>
      </w:r>
    </w:p>
    <w:p w14:paraId="326720CF" w14:textId="77777777" w:rsidR="00EE5B70" w:rsidRDefault="00EE5B70" w:rsidP="00EE5B70">
      <w:pPr>
        <w:pStyle w:val="a3"/>
        <w:numPr>
          <w:ilvl w:val="0"/>
          <w:numId w:val="6"/>
        </w:numPr>
        <w:ind w:leftChars="0"/>
      </w:pPr>
      <w:r>
        <w:rPr>
          <w:rFonts w:hint="eastAsia"/>
        </w:rPr>
        <w:t>理学療法</w:t>
      </w:r>
      <w:r w:rsidR="003D20B1">
        <w:rPr>
          <w:rFonts w:hint="eastAsia"/>
        </w:rPr>
        <w:t>：</w:t>
      </w:r>
      <w:r w:rsidRPr="00EE5B70">
        <w:rPr>
          <w:rFonts w:hint="eastAsia"/>
        </w:rPr>
        <w:t>歩行や座位などの身体機能に関する評価、訓練</w:t>
      </w:r>
      <w:r>
        <w:rPr>
          <w:rFonts w:hint="eastAsia"/>
        </w:rPr>
        <w:t>、</w:t>
      </w:r>
      <w:r w:rsidRPr="00EE5B70">
        <w:rPr>
          <w:rFonts w:hint="eastAsia"/>
        </w:rPr>
        <w:t>運動時のバイタルサインの状況把握</w:t>
      </w:r>
    </w:p>
    <w:p w14:paraId="396277B2" w14:textId="77777777" w:rsidR="003D20B1" w:rsidRDefault="00EE5B70" w:rsidP="00EE5B70">
      <w:pPr>
        <w:pStyle w:val="a3"/>
        <w:numPr>
          <w:ilvl w:val="0"/>
          <w:numId w:val="6"/>
        </w:numPr>
        <w:ind w:leftChars="0"/>
      </w:pPr>
      <w:r>
        <w:rPr>
          <w:rFonts w:hint="eastAsia"/>
        </w:rPr>
        <w:t>作業療法</w:t>
      </w:r>
      <w:r w:rsidR="003D20B1">
        <w:rPr>
          <w:rFonts w:hint="eastAsia"/>
        </w:rPr>
        <w:t>：</w:t>
      </w:r>
      <w:r w:rsidRPr="00EE5B70">
        <w:t>ADL(日常生活動作）の評価</w:t>
      </w:r>
      <w:r>
        <w:rPr>
          <w:rFonts w:hint="eastAsia"/>
        </w:rPr>
        <w:t>、</w:t>
      </w:r>
      <w:r w:rsidRPr="00EE5B70">
        <w:rPr>
          <w:rFonts w:hint="eastAsia"/>
        </w:rPr>
        <w:t>認知機能の障害の程度の把握</w:t>
      </w:r>
    </w:p>
    <w:p w14:paraId="1196C0FB" w14:textId="77777777" w:rsidR="00EE5B70" w:rsidRDefault="00EE5B70" w:rsidP="00EE5B70">
      <w:pPr>
        <w:pStyle w:val="a3"/>
        <w:numPr>
          <w:ilvl w:val="0"/>
          <w:numId w:val="6"/>
        </w:numPr>
        <w:ind w:leftChars="0"/>
      </w:pPr>
      <w:r>
        <w:rPr>
          <w:rFonts w:hint="eastAsia"/>
        </w:rPr>
        <w:t>言語聴覚療法</w:t>
      </w:r>
      <w:r w:rsidR="003D20B1">
        <w:rPr>
          <w:rFonts w:hint="eastAsia"/>
        </w:rPr>
        <w:t>：</w:t>
      </w:r>
      <w:r w:rsidRPr="00EE5B70">
        <w:rPr>
          <w:rFonts w:hint="eastAsia"/>
        </w:rPr>
        <w:t>嚥下機能の評価と評価に基づく剤形の選択</w:t>
      </w:r>
      <w:r>
        <w:rPr>
          <w:rFonts w:hint="eastAsia"/>
        </w:rPr>
        <w:t>、</w:t>
      </w:r>
      <w:r w:rsidRPr="00EE5B70">
        <w:rPr>
          <w:rFonts w:hint="eastAsia"/>
        </w:rPr>
        <w:t>経口からの服薬に関する摂食嚥下の状況把握</w:t>
      </w:r>
    </w:p>
    <w:p w14:paraId="5F762470" w14:textId="77777777" w:rsidR="003D20B1" w:rsidRDefault="003D20B1" w:rsidP="00584B71">
      <w:pPr>
        <w:pStyle w:val="a3"/>
        <w:numPr>
          <w:ilvl w:val="0"/>
          <w:numId w:val="6"/>
        </w:numPr>
        <w:ind w:leftChars="0"/>
      </w:pPr>
      <w:r w:rsidRPr="003D20B1">
        <w:rPr>
          <w:rFonts w:hint="eastAsia"/>
        </w:rPr>
        <w:t>日常生活に必要な動作や認知機能、摂食嚥下における服薬の影響の有無</w:t>
      </w:r>
      <w:r>
        <w:rPr>
          <w:rFonts w:hint="eastAsia"/>
        </w:rPr>
        <w:t>、</w:t>
      </w:r>
      <w:r w:rsidRPr="003D20B1">
        <w:rPr>
          <w:rFonts w:hint="eastAsia"/>
        </w:rPr>
        <w:t>食事、服薬方法等を含め入院中、退院後の生活スタイルの状況</w:t>
      </w:r>
      <w:r>
        <w:rPr>
          <w:rFonts w:hint="eastAsia"/>
        </w:rPr>
        <w:t>に対する情報提供及び介入</w:t>
      </w:r>
    </w:p>
    <w:p w14:paraId="5260D2EC" w14:textId="77777777" w:rsidR="008536BB" w:rsidRPr="00EE5B70" w:rsidRDefault="008536BB" w:rsidP="008536BB">
      <w:pPr>
        <w:pStyle w:val="a3"/>
        <w:ind w:leftChars="0" w:left="360"/>
      </w:pPr>
    </w:p>
    <w:p w14:paraId="678899B3" w14:textId="77777777" w:rsidR="007F4094" w:rsidRPr="008536BB" w:rsidRDefault="007F4094" w:rsidP="00F76C5B">
      <w:pPr>
        <w:rPr>
          <w:b/>
        </w:rPr>
      </w:pPr>
      <w:r w:rsidRPr="008536BB">
        <w:rPr>
          <w:rFonts w:hint="eastAsia"/>
          <w:b/>
        </w:rPr>
        <w:t>看護師</w:t>
      </w:r>
    </w:p>
    <w:p w14:paraId="7E7D4C6E" w14:textId="77777777" w:rsidR="00EE5B70" w:rsidRDefault="00EE5B70" w:rsidP="00EE5B70">
      <w:pPr>
        <w:pStyle w:val="a3"/>
        <w:numPr>
          <w:ilvl w:val="0"/>
          <w:numId w:val="4"/>
        </w:numPr>
        <w:ind w:leftChars="0"/>
      </w:pPr>
      <w:r w:rsidRPr="00EE5B70">
        <w:rPr>
          <w:rFonts w:hint="eastAsia"/>
        </w:rPr>
        <w:t>服薬管理の際に問題となる患者の</w:t>
      </w:r>
      <w:r w:rsidRPr="00EE5B70">
        <w:t>ADLや認知機能に関する情報</w:t>
      </w:r>
      <w:r>
        <w:rPr>
          <w:rFonts w:hint="eastAsia"/>
        </w:rPr>
        <w:t>収集</w:t>
      </w:r>
    </w:p>
    <w:p w14:paraId="27EA0116" w14:textId="77777777" w:rsidR="00EE5B70" w:rsidRDefault="00EE5B70" w:rsidP="00EE5B70">
      <w:pPr>
        <w:pStyle w:val="a3"/>
        <w:numPr>
          <w:ilvl w:val="0"/>
          <w:numId w:val="4"/>
        </w:numPr>
        <w:ind w:leftChars="0"/>
      </w:pPr>
      <w:r w:rsidRPr="00EE5B70">
        <w:rPr>
          <w:rFonts w:hint="eastAsia"/>
        </w:rPr>
        <w:t>本人や管理者となりうる家族や介護者を含めた生活環境、社会的背景などの</w:t>
      </w:r>
      <w:r>
        <w:rPr>
          <w:rFonts w:hint="eastAsia"/>
        </w:rPr>
        <w:t>情報収集</w:t>
      </w:r>
    </w:p>
    <w:p w14:paraId="57387CD6" w14:textId="77777777" w:rsidR="00EE5B70" w:rsidRDefault="00EE5B70" w:rsidP="00EE5B70">
      <w:pPr>
        <w:pStyle w:val="a3"/>
        <w:numPr>
          <w:ilvl w:val="0"/>
          <w:numId w:val="4"/>
        </w:numPr>
        <w:ind w:leftChars="0"/>
      </w:pPr>
      <w:r w:rsidRPr="00EE5B70">
        <w:rPr>
          <w:rFonts w:hint="eastAsia"/>
        </w:rPr>
        <w:lastRenderedPageBreak/>
        <w:t>服薬に関連した有害事象の観察</w:t>
      </w:r>
      <w:r w:rsidRPr="00EE5B70">
        <w:t>(バイタルサイン、体重計測etc)</w:t>
      </w:r>
    </w:p>
    <w:p w14:paraId="59B46FDC" w14:textId="6BE4E6AA" w:rsidR="007F4094" w:rsidRDefault="00EE5B70" w:rsidP="007B6183">
      <w:pPr>
        <w:pStyle w:val="a3"/>
        <w:numPr>
          <w:ilvl w:val="0"/>
          <w:numId w:val="4"/>
        </w:numPr>
        <w:ind w:leftChars="0"/>
      </w:pPr>
      <w:r w:rsidRPr="00EE5B70">
        <w:rPr>
          <w:rFonts w:hint="eastAsia"/>
        </w:rPr>
        <w:t>入院中の患者の生活（主に睡眠、排泄）に関する情報</w:t>
      </w:r>
      <w:r>
        <w:rPr>
          <w:rFonts w:hint="eastAsia"/>
        </w:rPr>
        <w:t>（</w:t>
      </w:r>
      <w:r w:rsidRPr="00EE5B70">
        <w:rPr>
          <w:rFonts w:hint="eastAsia"/>
        </w:rPr>
        <w:t>服薬に関する患者や家族の思い</w:t>
      </w:r>
      <w:r>
        <w:rPr>
          <w:rFonts w:hint="eastAsia"/>
        </w:rPr>
        <w:t>、</w:t>
      </w:r>
      <w:r w:rsidRPr="00EE5B70">
        <w:rPr>
          <w:rFonts w:hint="eastAsia"/>
        </w:rPr>
        <w:t>退院先や退院後に関する情報</w:t>
      </w:r>
      <w:r>
        <w:rPr>
          <w:rFonts w:hint="eastAsia"/>
        </w:rPr>
        <w:t>）</w:t>
      </w:r>
    </w:p>
    <w:p w14:paraId="7A342189" w14:textId="77777777" w:rsidR="008536BB" w:rsidRDefault="008536BB" w:rsidP="00EE5B70"/>
    <w:p w14:paraId="3CF78413" w14:textId="77777777" w:rsidR="00EE5B70" w:rsidRPr="008536BB" w:rsidRDefault="00EE5B70" w:rsidP="00EE5B70">
      <w:pPr>
        <w:rPr>
          <w:b/>
        </w:rPr>
      </w:pPr>
      <w:r w:rsidRPr="008536BB">
        <w:rPr>
          <w:rFonts w:hint="eastAsia"/>
          <w:b/>
        </w:rPr>
        <w:t>栄養管理部</w:t>
      </w:r>
    </w:p>
    <w:p w14:paraId="7E9297C1" w14:textId="77777777" w:rsidR="00EE5B70" w:rsidRPr="00EE5B70" w:rsidRDefault="00EE5B70" w:rsidP="00EE5B70">
      <w:pPr>
        <w:pStyle w:val="a3"/>
        <w:numPr>
          <w:ilvl w:val="0"/>
          <w:numId w:val="5"/>
        </w:numPr>
        <w:ind w:leftChars="0"/>
      </w:pPr>
      <w:r w:rsidRPr="00EE5B70">
        <w:rPr>
          <w:rFonts w:hint="eastAsia"/>
        </w:rPr>
        <w:t>治療食による管理において投薬治療が削減できるケースについて検討、提案。</w:t>
      </w:r>
    </w:p>
    <w:p w14:paraId="58D4B28F" w14:textId="77777777" w:rsidR="00EE5B70" w:rsidRPr="00EE5B70" w:rsidRDefault="00EE5B70" w:rsidP="00EE5B70">
      <w:pPr>
        <w:pStyle w:val="a3"/>
        <w:numPr>
          <w:ilvl w:val="0"/>
          <w:numId w:val="5"/>
        </w:numPr>
        <w:ind w:leftChars="0"/>
      </w:pPr>
      <w:r w:rsidRPr="00EE5B70">
        <w:rPr>
          <w:rFonts w:hint="eastAsia"/>
        </w:rPr>
        <w:t>栄養補助食品の利用などから、改善可能な例について検討、提案。</w:t>
      </w:r>
    </w:p>
    <w:p w14:paraId="72D30411" w14:textId="77777777" w:rsidR="00EE5B70" w:rsidRDefault="00EE5B70" w:rsidP="00EE5B70">
      <w:pPr>
        <w:pStyle w:val="a3"/>
        <w:numPr>
          <w:ilvl w:val="0"/>
          <w:numId w:val="5"/>
        </w:numPr>
        <w:ind w:leftChars="0"/>
      </w:pPr>
      <w:r w:rsidRPr="00EE5B70">
        <w:rPr>
          <w:rFonts w:hint="eastAsia"/>
        </w:rPr>
        <w:t>必要に応じて、栄養サポートチームや摂食嚥下チーム等と連携。</w:t>
      </w:r>
    </w:p>
    <w:p w14:paraId="24500480" w14:textId="77777777" w:rsidR="008536BB" w:rsidRPr="00EE5B70" w:rsidRDefault="008536BB" w:rsidP="008536BB"/>
    <w:p w14:paraId="2CC973F3" w14:textId="77777777" w:rsidR="00EE5B70" w:rsidRPr="008536BB" w:rsidRDefault="00EE5B70" w:rsidP="00EE5B70">
      <w:pPr>
        <w:rPr>
          <w:b/>
        </w:rPr>
      </w:pPr>
      <w:r w:rsidRPr="008536BB">
        <w:rPr>
          <w:rFonts w:hint="eastAsia"/>
          <w:b/>
        </w:rPr>
        <w:t>薬剤部</w:t>
      </w:r>
    </w:p>
    <w:p w14:paraId="4771F5C3" w14:textId="77777777" w:rsidR="008536BB" w:rsidRDefault="008536BB" w:rsidP="00EE5B70">
      <w:r>
        <w:rPr>
          <w:noProof/>
        </w:rPr>
        <w:drawing>
          <wp:inline distT="0" distB="0" distL="0" distR="0" wp14:anchorId="5A81CEB4" wp14:editId="40E3A76E">
            <wp:extent cx="4979717" cy="3427060"/>
            <wp:effectExtent l="0" t="0" r="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304" cy="3469444"/>
                    </a:xfrm>
                    <a:prstGeom prst="rect">
                      <a:avLst/>
                    </a:prstGeom>
                    <a:noFill/>
                    <a:ln>
                      <a:noFill/>
                    </a:ln>
                  </pic:spPr>
                </pic:pic>
              </a:graphicData>
            </a:graphic>
          </wp:inline>
        </w:drawing>
      </w:r>
    </w:p>
    <w:p w14:paraId="79EE146D" w14:textId="77777777" w:rsidR="00364BE4" w:rsidRDefault="00364BE4" w:rsidP="00364BE4">
      <w:r>
        <w:rPr>
          <w:rFonts w:hint="eastAsia"/>
        </w:rPr>
        <w:t>【議事録などの保管に関して】</w:t>
      </w:r>
    </w:p>
    <w:p w14:paraId="3D928A97" w14:textId="71E95BF1" w:rsidR="008536BB" w:rsidRDefault="00364BE4" w:rsidP="00EE5B70">
      <w:r>
        <w:rPr>
          <w:rFonts w:hint="eastAsia"/>
        </w:rPr>
        <w:t>議事録などチームの運営に関わる書類は、電子カルテ内の</w:t>
      </w:r>
      <w:r w:rsidR="00C624B3">
        <w:rPr>
          <w:rFonts w:hint="eastAsia"/>
        </w:rPr>
        <w:t>●●●</w:t>
      </w:r>
      <w:r>
        <w:rPr>
          <w:rFonts w:hint="eastAsia"/>
        </w:rPr>
        <w:t>に保管するものとする。</w:t>
      </w:r>
    </w:p>
    <w:p w14:paraId="76273DFB" w14:textId="54B7EC6B" w:rsidR="00364BE4" w:rsidRPr="00364BE4" w:rsidRDefault="00364BE4" w:rsidP="00EE5B70"/>
    <w:sectPr w:rsidR="00364BE4" w:rsidRPr="00364BE4" w:rsidSect="00835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5BE5" w14:textId="77777777" w:rsidR="00E31C23" w:rsidRDefault="00E31C23" w:rsidP="00364BE4">
      <w:r>
        <w:separator/>
      </w:r>
    </w:p>
  </w:endnote>
  <w:endnote w:type="continuationSeparator" w:id="0">
    <w:p w14:paraId="118D32A1" w14:textId="77777777" w:rsidR="00E31C23" w:rsidRDefault="00E31C23" w:rsidP="0036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8D87E" w14:textId="77777777" w:rsidR="00E31C23" w:rsidRDefault="00E31C23" w:rsidP="00364BE4">
      <w:r>
        <w:separator/>
      </w:r>
    </w:p>
  </w:footnote>
  <w:footnote w:type="continuationSeparator" w:id="0">
    <w:p w14:paraId="4DC6BA59" w14:textId="77777777" w:rsidR="00E31C23" w:rsidRDefault="00E31C23" w:rsidP="0036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1E46"/>
    <w:multiLevelType w:val="hybridMultilevel"/>
    <w:tmpl w:val="BFD4AACA"/>
    <w:lvl w:ilvl="0" w:tplc="18C81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10144"/>
    <w:multiLevelType w:val="hybridMultilevel"/>
    <w:tmpl w:val="C7B86FF8"/>
    <w:lvl w:ilvl="0" w:tplc="B756D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2A310A"/>
    <w:multiLevelType w:val="hybridMultilevel"/>
    <w:tmpl w:val="C6A8D694"/>
    <w:lvl w:ilvl="0" w:tplc="E7B47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807093"/>
    <w:multiLevelType w:val="hybridMultilevel"/>
    <w:tmpl w:val="2BA0F6F2"/>
    <w:lvl w:ilvl="0" w:tplc="18E69A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B31E12"/>
    <w:multiLevelType w:val="hybridMultilevel"/>
    <w:tmpl w:val="83106982"/>
    <w:lvl w:ilvl="0" w:tplc="F7D68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CB140E"/>
    <w:multiLevelType w:val="hybridMultilevel"/>
    <w:tmpl w:val="1E0040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94"/>
    <w:rsid w:val="0020126F"/>
    <w:rsid w:val="00364BE4"/>
    <w:rsid w:val="003D20B1"/>
    <w:rsid w:val="00407A88"/>
    <w:rsid w:val="00456C0A"/>
    <w:rsid w:val="005E49DD"/>
    <w:rsid w:val="007452C3"/>
    <w:rsid w:val="007F236E"/>
    <w:rsid w:val="007F4094"/>
    <w:rsid w:val="00835B66"/>
    <w:rsid w:val="00844096"/>
    <w:rsid w:val="008536BB"/>
    <w:rsid w:val="008C6FDE"/>
    <w:rsid w:val="00924200"/>
    <w:rsid w:val="00B73ADC"/>
    <w:rsid w:val="00BA7A1A"/>
    <w:rsid w:val="00C624B3"/>
    <w:rsid w:val="00E31C23"/>
    <w:rsid w:val="00E45D42"/>
    <w:rsid w:val="00EE5B70"/>
    <w:rsid w:val="00F76C5B"/>
    <w:rsid w:val="00FB0F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7091AE"/>
  <w15:docId w15:val="{E1B4447F-0BA8-4013-8AE2-0ECE1834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C5B"/>
    <w:pPr>
      <w:ind w:leftChars="400" w:left="840"/>
    </w:pPr>
  </w:style>
  <w:style w:type="paragraph" w:styleId="a4">
    <w:name w:val="Balloon Text"/>
    <w:basedOn w:val="a"/>
    <w:link w:val="a5"/>
    <w:uiPriority w:val="99"/>
    <w:semiHidden/>
    <w:unhideWhenUsed/>
    <w:rsid w:val="003D20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20B1"/>
    <w:rPr>
      <w:rFonts w:asciiTheme="majorHAnsi" w:eastAsiaTheme="majorEastAsia" w:hAnsiTheme="majorHAnsi" w:cstheme="majorBidi"/>
      <w:sz w:val="18"/>
      <w:szCs w:val="18"/>
    </w:rPr>
  </w:style>
  <w:style w:type="paragraph" w:styleId="a6">
    <w:name w:val="header"/>
    <w:basedOn w:val="a"/>
    <w:link w:val="a7"/>
    <w:uiPriority w:val="99"/>
    <w:unhideWhenUsed/>
    <w:rsid w:val="00364BE4"/>
    <w:pPr>
      <w:tabs>
        <w:tab w:val="center" w:pos="4252"/>
        <w:tab w:val="right" w:pos="8504"/>
      </w:tabs>
      <w:snapToGrid w:val="0"/>
    </w:pPr>
  </w:style>
  <w:style w:type="character" w:customStyle="1" w:styleId="a7">
    <w:name w:val="ヘッダー (文字)"/>
    <w:basedOn w:val="a0"/>
    <w:link w:val="a6"/>
    <w:uiPriority w:val="99"/>
    <w:rsid w:val="00364BE4"/>
  </w:style>
  <w:style w:type="paragraph" w:styleId="a8">
    <w:name w:val="footer"/>
    <w:basedOn w:val="a"/>
    <w:link w:val="a9"/>
    <w:uiPriority w:val="99"/>
    <w:unhideWhenUsed/>
    <w:rsid w:val="00364BE4"/>
    <w:pPr>
      <w:tabs>
        <w:tab w:val="center" w:pos="4252"/>
        <w:tab w:val="right" w:pos="8504"/>
      </w:tabs>
      <w:snapToGrid w:val="0"/>
    </w:pPr>
  </w:style>
  <w:style w:type="character" w:customStyle="1" w:styleId="a9">
    <w:name w:val="フッター (文字)"/>
    <w:basedOn w:val="a0"/>
    <w:link w:val="a8"/>
    <w:uiPriority w:val="99"/>
    <w:rsid w:val="0036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23122">
      <w:bodyDiv w:val="1"/>
      <w:marLeft w:val="0"/>
      <w:marRight w:val="0"/>
      <w:marTop w:val="0"/>
      <w:marBottom w:val="0"/>
      <w:divBdr>
        <w:top w:val="none" w:sz="0" w:space="0" w:color="auto"/>
        <w:left w:val="none" w:sz="0" w:space="0" w:color="auto"/>
        <w:bottom w:val="none" w:sz="0" w:space="0" w:color="auto"/>
        <w:right w:val="none" w:sz="0" w:space="0" w:color="auto"/>
      </w:divBdr>
      <w:divsChild>
        <w:div w:id="1202549261">
          <w:marLeft w:val="547"/>
          <w:marRight w:val="0"/>
          <w:marTop w:val="120"/>
          <w:marBottom w:val="120"/>
          <w:divBdr>
            <w:top w:val="none" w:sz="0" w:space="0" w:color="auto"/>
            <w:left w:val="none" w:sz="0" w:space="0" w:color="auto"/>
            <w:bottom w:val="none" w:sz="0" w:space="0" w:color="auto"/>
            <w:right w:val="none" w:sz="0" w:space="0" w:color="auto"/>
          </w:divBdr>
        </w:div>
        <w:div w:id="109252408">
          <w:marLeft w:val="547"/>
          <w:marRight w:val="0"/>
          <w:marTop w:val="120"/>
          <w:marBottom w:val="120"/>
          <w:divBdr>
            <w:top w:val="none" w:sz="0" w:space="0" w:color="auto"/>
            <w:left w:val="none" w:sz="0" w:space="0" w:color="auto"/>
            <w:bottom w:val="none" w:sz="0" w:space="0" w:color="auto"/>
            <w:right w:val="none" w:sz="0" w:space="0" w:color="auto"/>
          </w:divBdr>
        </w:div>
        <w:div w:id="713387090">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265</Words>
  <Characters>1517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2021-03-17T04:20:00Z</dcterms:created>
  <dcterms:modified xsi:type="dcterms:W3CDTF">2021-03-22T09:43:00Z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1113596325</vt:i4>
  </property>
</Properties>
</file>