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3A9" w14:textId="77777777" w:rsidR="00F779B5" w:rsidRPr="00EC5F30" w:rsidRDefault="00F779B5" w:rsidP="00F779B5">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61312" behindDoc="0" locked="0" layoutInCell="1" allowOverlap="1" wp14:anchorId="57456FF0" wp14:editId="7F62754C">
                <wp:simplePos x="0" y="0"/>
                <wp:positionH relativeFrom="margin">
                  <wp:align>right</wp:align>
                </wp:positionH>
                <wp:positionV relativeFrom="paragraph">
                  <wp:posOffset>-414833</wp:posOffset>
                </wp:positionV>
                <wp:extent cx="1174384" cy="335499"/>
                <wp:effectExtent l="0" t="0" r="698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2FF93D5C" w14:textId="53857380" w:rsidR="00F779B5" w:rsidRDefault="00F779B5" w:rsidP="00F779B5">
                            <w:pPr>
                              <w:jc w:val="center"/>
                              <w:rPr>
                                <w:rFonts w:asciiTheme="majorEastAsia" w:eastAsiaTheme="majorEastAsia" w:hAnsiTheme="majorEastAsia"/>
                              </w:rPr>
                            </w:pPr>
                            <w:r>
                              <w:rPr>
                                <w:rFonts w:asciiTheme="majorEastAsia" w:eastAsiaTheme="majorEastAsia" w:hAnsiTheme="majorEastAsia" w:hint="eastAsia"/>
                              </w:rPr>
                              <w:t>様式B-３－</w:t>
                            </w:r>
                            <w:r w:rsidR="00C950BC">
                              <w:rPr>
                                <w:rFonts w:asciiTheme="majorEastAsia" w:eastAsiaTheme="majorEastAsia" w:hAnsiTheme="majorEastAsia" w:hint="eastAsia"/>
                              </w:rPr>
                              <w:t>２</w:t>
                            </w:r>
                          </w:p>
                          <w:p w14:paraId="07B3AFB8" w14:textId="77777777" w:rsidR="00F779B5" w:rsidRDefault="00F779B5" w:rsidP="00F779B5">
                            <w:pPr>
                              <w:jc w:val="center"/>
                              <w:rPr>
                                <w:rFonts w:asciiTheme="majorEastAsia" w:eastAsiaTheme="majorEastAsia" w:hAnsiTheme="majorEastAsia" w:hint="eastAsia"/>
                              </w:rPr>
                            </w:pPr>
                          </w:p>
                          <w:p w14:paraId="1368C94A" w14:textId="77777777" w:rsidR="00F779B5" w:rsidRPr="001759A7" w:rsidRDefault="00F779B5" w:rsidP="00F779B5">
                            <w:pPr>
                              <w:jc w:val="center"/>
                              <w:rPr>
                                <w:rFonts w:asciiTheme="majorEastAsia" w:eastAsiaTheme="majorEastAsia" w:hAnsiTheme="majorEastAsia"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56FF0" id="_x0000_t202" coordsize="21600,21600" o:spt="202" path="m,l,21600r21600,l21600,xe">
                <v:stroke joinstyle="miter"/>
                <v:path gradientshapeok="t" o:connecttype="rect"/>
              </v:shapetype>
              <v:shape id="テキスト ボックス 2" o:spid="_x0000_s1026" type="#_x0000_t202" style="position:absolute;left:0;text-align:left;margin-left:41.25pt;margin-top:-32.65pt;width:92.45pt;height:2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" stroked="f">
                <v:textbox>
                  <w:txbxContent>
                    <w:p w14:paraId="2FF93D5C" w14:textId="53857380" w:rsidR="00F779B5" w:rsidRDefault="00F779B5" w:rsidP="00F779B5">
                      <w:pPr>
                        <w:jc w:val="center"/>
                        <w:rPr>
                          <w:rFonts w:asciiTheme="majorEastAsia" w:eastAsiaTheme="majorEastAsia" w:hAnsiTheme="majorEastAsia"/>
                        </w:rPr>
                      </w:pPr>
                      <w:r>
                        <w:rPr>
                          <w:rFonts w:asciiTheme="majorEastAsia" w:eastAsiaTheme="majorEastAsia" w:hAnsiTheme="majorEastAsia" w:hint="eastAsia"/>
                        </w:rPr>
                        <w:t>様式B-３－</w:t>
                      </w:r>
                      <w:r w:rsidR="00C950BC">
                        <w:rPr>
                          <w:rFonts w:asciiTheme="majorEastAsia" w:eastAsiaTheme="majorEastAsia" w:hAnsiTheme="majorEastAsia" w:hint="eastAsia"/>
                        </w:rPr>
                        <w:t>２</w:t>
                      </w:r>
                    </w:p>
                    <w:p w14:paraId="07B3AFB8" w14:textId="77777777" w:rsidR="00F779B5" w:rsidRDefault="00F779B5" w:rsidP="00F779B5">
                      <w:pPr>
                        <w:jc w:val="center"/>
                        <w:rPr>
                          <w:rFonts w:asciiTheme="majorEastAsia" w:eastAsiaTheme="majorEastAsia" w:hAnsiTheme="majorEastAsia" w:hint="eastAsia"/>
                        </w:rPr>
                      </w:pPr>
                    </w:p>
                    <w:p w14:paraId="1368C94A" w14:textId="77777777" w:rsidR="00F779B5" w:rsidRPr="001759A7" w:rsidRDefault="00F779B5" w:rsidP="00F779B5">
                      <w:pPr>
                        <w:jc w:val="center"/>
                        <w:rPr>
                          <w:rFonts w:asciiTheme="majorEastAsia" w:eastAsiaTheme="majorEastAsia" w:hAnsiTheme="majorEastAsia" w:hint="eastAsia"/>
                        </w:rPr>
                      </w:pPr>
                    </w:p>
                  </w:txbxContent>
                </v:textbox>
                <w10:wrap anchorx="margin"/>
              </v:shape>
            </w:pict>
          </mc:Fallback>
        </mc:AlternateContent>
      </w:r>
      <w:r w:rsidRPr="00EC5F30">
        <w:rPr>
          <w:rFonts w:asciiTheme="majorEastAsia" w:eastAsiaTheme="majorEastAsia" w:hAnsiTheme="majorEastAsia" w:cs="Times New Roman" w:hint="eastAsia"/>
          <w:b/>
          <w:sz w:val="28"/>
          <w:szCs w:val="28"/>
        </w:rPr>
        <w:t>受入時点における受入病院による研修医の評価</w:t>
      </w:r>
    </w:p>
    <w:p w14:paraId="55CC7ECF" w14:textId="77777777" w:rsidR="00F779B5" w:rsidRDefault="00F779B5" w:rsidP="00F779B5">
      <w:pPr>
        <w:jc w:val="center"/>
        <w:rPr>
          <w:rFonts w:asciiTheme="majorEastAsia" w:eastAsiaTheme="majorEastAsia" w:hAnsiTheme="majorEastAsia" w:cs="Times New Roman"/>
          <w:b/>
          <w:sz w:val="24"/>
        </w:rPr>
      </w:pPr>
    </w:p>
    <w:p w14:paraId="2129AFAE" w14:textId="77777777" w:rsidR="00F779B5" w:rsidRDefault="00F779B5" w:rsidP="00F779B5">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Pr>
          <w:rFonts w:ascii="ＭＳ 明朝" w:eastAsia="ＭＳ 明朝" w:hAnsi="ＭＳ 明朝" w:cs="Times New Roman" w:hint="eastAsia"/>
          <w:bCs/>
          <w:sz w:val="24"/>
        </w:rPr>
        <w:t>1</w:t>
      </w:r>
      <w:r>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3E4362FD" w14:textId="77777777" w:rsidR="00C950BC" w:rsidRPr="00EC5F30" w:rsidRDefault="00C950BC" w:rsidP="00F779B5">
      <w:pPr>
        <w:ind w:firstLineChars="100" w:firstLine="240"/>
        <w:jc w:val="left"/>
        <w:rPr>
          <w:rFonts w:ascii="ＭＳ 明朝" w:eastAsia="ＭＳ 明朝" w:hAnsi="ＭＳ 明朝" w:cs="Times New Roman" w:hint="eastAsia"/>
          <w:bCs/>
          <w:sz w:val="24"/>
        </w:rPr>
      </w:pPr>
    </w:p>
    <w:p w14:paraId="31099F33" w14:textId="03FF3A89" w:rsidR="004D4761" w:rsidRPr="008438C5" w:rsidRDefault="004D4761" w:rsidP="004D4761">
      <w:pPr>
        <w:jc w:val="center"/>
        <w:rPr>
          <w:rFonts w:ascii="Times New Roman" w:eastAsiaTheme="majorEastAsia" w:hAnsi="Times New Roman" w:cs="Times New Roman"/>
          <w:b/>
          <w:sz w:val="24"/>
        </w:rPr>
      </w:pPr>
      <w:r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77777777" w:rsidR="009644B2" w:rsidRPr="008438C5"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192560">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8"/>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8A586A">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shd w:val="clear" w:color="auto" w:fill="auto"/>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shd w:val="clear" w:color="auto" w:fill="auto"/>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shd w:val="clear" w:color="auto" w:fill="auto"/>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shd w:val="clear" w:color="auto" w:fill="auto"/>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shd w:val="clear" w:color="auto" w:fill="auto"/>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273E14">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273E14">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23EA0206" w14:textId="77777777" w:rsidR="00DA555E" w:rsidRDefault="00DA555E" w:rsidP="00904231">
            <w:pPr>
              <w:rPr>
                <w:rFonts w:ascii="ＭＳ 明朝" w:eastAsia="ＭＳ 明朝" w:hAnsi="ＭＳ 明朝" w:cs="Times New Roman"/>
                <w:sz w:val="22"/>
              </w:rPr>
            </w:pPr>
          </w:p>
          <w:p w14:paraId="6B943C93" w14:textId="77777777" w:rsidR="00D90E90" w:rsidRDefault="00D90E90" w:rsidP="00904231">
            <w:pPr>
              <w:rPr>
                <w:rFonts w:ascii="ＭＳ 明朝" w:eastAsia="ＭＳ 明朝" w:hAnsi="ＭＳ 明朝" w:cs="Times New Roman"/>
                <w:sz w:val="22"/>
              </w:rPr>
            </w:pPr>
          </w:p>
          <w:p w14:paraId="5499BE6F" w14:textId="77777777" w:rsidR="00D90E90" w:rsidRDefault="00D90E90" w:rsidP="00904231">
            <w:pPr>
              <w:rPr>
                <w:rFonts w:ascii="ＭＳ 明朝" w:eastAsia="ＭＳ 明朝" w:hAnsi="ＭＳ 明朝" w:cs="Times New Roman"/>
                <w:sz w:val="22"/>
              </w:rPr>
            </w:pPr>
          </w:p>
          <w:p w14:paraId="08C24DAE" w14:textId="77777777" w:rsidR="00D90E90" w:rsidRDefault="00D90E90" w:rsidP="00904231">
            <w:pPr>
              <w:rPr>
                <w:rFonts w:ascii="ＭＳ 明朝" w:eastAsia="ＭＳ 明朝" w:hAnsi="ＭＳ 明朝" w:cs="Times New Roman"/>
                <w:sz w:val="22"/>
              </w:rPr>
            </w:pPr>
          </w:p>
          <w:p w14:paraId="7E6D8719" w14:textId="77777777" w:rsidR="00D90E90" w:rsidRDefault="00D90E90" w:rsidP="00904231">
            <w:pPr>
              <w:rPr>
                <w:rFonts w:ascii="ＭＳ 明朝" w:eastAsia="ＭＳ 明朝" w:hAnsi="ＭＳ 明朝" w:cs="Times New Roman"/>
                <w:sz w:val="22"/>
              </w:rPr>
            </w:pPr>
          </w:p>
          <w:p w14:paraId="4833AD31" w14:textId="77777777" w:rsidR="00D90E90" w:rsidRDefault="00D90E90" w:rsidP="00904231">
            <w:pPr>
              <w:rPr>
                <w:rFonts w:ascii="ＭＳ 明朝" w:eastAsia="ＭＳ 明朝" w:hAnsi="ＭＳ 明朝" w:cs="Times New Roman"/>
                <w:sz w:val="22"/>
              </w:rPr>
            </w:pPr>
          </w:p>
          <w:p w14:paraId="5BC21F1A" w14:textId="77777777" w:rsidR="00D90E90" w:rsidRDefault="00D90E90" w:rsidP="00904231">
            <w:pPr>
              <w:rPr>
                <w:rFonts w:ascii="ＭＳ 明朝" w:eastAsia="ＭＳ 明朝" w:hAnsi="ＭＳ 明朝" w:cs="Times New Roman"/>
                <w:sz w:val="22"/>
              </w:rPr>
            </w:pPr>
          </w:p>
          <w:p w14:paraId="6B19590A" w14:textId="77777777" w:rsidR="00D90E90" w:rsidRDefault="00D90E90" w:rsidP="00904231">
            <w:pPr>
              <w:rPr>
                <w:rFonts w:ascii="ＭＳ 明朝" w:eastAsia="ＭＳ 明朝" w:hAnsi="ＭＳ 明朝" w:cs="Times New Roman"/>
                <w:sz w:val="22"/>
              </w:rPr>
            </w:pPr>
          </w:p>
          <w:p w14:paraId="48D5FF49" w14:textId="77777777" w:rsidR="00D90E90" w:rsidRDefault="00D90E90" w:rsidP="00904231">
            <w:pPr>
              <w:rPr>
                <w:rFonts w:ascii="ＭＳ 明朝" w:eastAsia="ＭＳ 明朝" w:hAnsi="ＭＳ 明朝" w:cs="Times New Roman"/>
                <w:sz w:val="22"/>
              </w:rPr>
            </w:pPr>
          </w:p>
          <w:p w14:paraId="68A4585C" w14:textId="77777777" w:rsidR="00D90E90" w:rsidRDefault="00D90E90" w:rsidP="00904231">
            <w:pPr>
              <w:rPr>
                <w:rFonts w:ascii="ＭＳ 明朝" w:eastAsia="ＭＳ 明朝" w:hAnsi="ＭＳ 明朝" w:cs="Times New Roman"/>
                <w:sz w:val="22"/>
              </w:rPr>
            </w:pPr>
          </w:p>
          <w:p w14:paraId="1107E7B5" w14:textId="77777777" w:rsidR="00D90E90" w:rsidRDefault="00D90E90" w:rsidP="00904231">
            <w:pPr>
              <w:rPr>
                <w:rFonts w:ascii="ＭＳ 明朝" w:eastAsia="ＭＳ 明朝" w:hAnsi="ＭＳ 明朝" w:cs="Times New Roman"/>
                <w:sz w:val="22"/>
              </w:rPr>
            </w:pPr>
          </w:p>
          <w:p w14:paraId="736D2343" w14:textId="77777777" w:rsidR="00D90E90" w:rsidRDefault="00D90E90" w:rsidP="00904231">
            <w:pPr>
              <w:rPr>
                <w:rFonts w:ascii="ＭＳ 明朝" w:eastAsia="ＭＳ 明朝" w:hAnsi="ＭＳ 明朝" w:cs="Times New Roman"/>
                <w:sz w:val="22"/>
              </w:rPr>
            </w:pPr>
          </w:p>
          <w:p w14:paraId="6685D224" w14:textId="7750D7A1" w:rsidR="00D90E90" w:rsidRPr="008438C5" w:rsidRDefault="00D90E90" w:rsidP="00904231">
            <w:pPr>
              <w:rPr>
                <w:rFonts w:ascii="ＭＳ 明朝" w:eastAsia="ＭＳ 明朝" w:hAnsi="ＭＳ 明朝" w:cs="Times New Roman" w:hint="eastAsia"/>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医療の持つ社会的側面の重要性を踏まえ、各種医療制度・システムを理解し、地域社会と国際社会に貢献する。</w:t>
            </w:r>
          </w:p>
        </w:tc>
      </w:tr>
      <w:tr w:rsidR="008438C5" w:rsidRPr="008438C5" w14:paraId="050361FD" w14:textId="77777777" w:rsidTr="00543A46">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1D2BA8">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1D2BA8">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1D2BA8">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1D2BA8">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1D2BA8">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1D2BA8">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273E14">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273E14">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18227E">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457884">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457884">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273E14">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273E14">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2C111F70" w14:textId="77777777" w:rsidR="00D90E90" w:rsidRDefault="00D90E90" w:rsidP="00D146A1">
      <w:pPr>
        <w:jc w:val="left"/>
        <w:rPr>
          <w:rFonts w:ascii="Times New Roman" w:eastAsiaTheme="majorEastAsia" w:hAnsi="Times New Roman" w:cs="Times New Roman"/>
          <w:sz w:val="22"/>
        </w:rPr>
      </w:pPr>
    </w:p>
    <w:p w14:paraId="36E6B901" w14:textId="77777777" w:rsidR="00D90E90" w:rsidRDefault="00D90E90" w:rsidP="00D146A1">
      <w:pPr>
        <w:jc w:val="left"/>
        <w:rPr>
          <w:rFonts w:ascii="Times New Roman" w:eastAsiaTheme="majorEastAsia" w:hAnsi="Times New Roman" w:cs="Times New Roman" w:hint="eastAsia"/>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に研鑽しながら、後進の育成にも携わり、生涯にわたって自律的に学び続ける。</w:t>
            </w:r>
          </w:p>
        </w:tc>
      </w:tr>
      <w:tr w:rsidR="008438C5" w:rsidRPr="008438C5" w14:paraId="50780F3D" w14:textId="77777777" w:rsidTr="002A16B1">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9C0492">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9C0492">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9C0492">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273E14">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273E14">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6BD4" w14:textId="77777777" w:rsidR="00862CCD" w:rsidRDefault="00862CCD" w:rsidP="004D1CC2">
      <w:r>
        <w:separator/>
      </w:r>
    </w:p>
  </w:endnote>
  <w:endnote w:type="continuationSeparator" w:id="0">
    <w:p w14:paraId="04D71BCF" w14:textId="77777777" w:rsidR="00862CCD" w:rsidRDefault="00862CCD"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019957"/>
      <w:docPartObj>
        <w:docPartGallery w:val="Page Numbers (Bottom of Page)"/>
        <w:docPartUnique/>
      </w:docPartObj>
    </w:sdt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5B71" w14:textId="77777777" w:rsidR="00862CCD" w:rsidRDefault="00862CCD" w:rsidP="004D1CC2">
      <w:r>
        <w:separator/>
      </w:r>
    </w:p>
  </w:footnote>
  <w:footnote w:type="continuationSeparator" w:id="0">
    <w:p w14:paraId="6CCD34A3" w14:textId="77777777" w:rsidR="00862CCD" w:rsidRDefault="00862CCD"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678533">
    <w:abstractNumId w:val="31"/>
  </w:num>
  <w:num w:numId="2" w16cid:durableId="78216946">
    <w:abstractNumId w:val="7"/>
  </w:num>
  <w:num w:numId="3" w16cid:durableId="295532124">
    <w:abstractNumId w:val="26"/>
  </w:num>
  <w:num w:numId="4" w16cid:durableId="305743514">
    <w:abstractNumId w:val="34"/>
  </w:num>
  <w:num w:numId="5" w16cid:durableId="240335457">
    <w:abstractNumId w:val="19"/>
  </w:num>
  <w:num w:numId="6" w16cid:durableId="288441858">
    <w:abstractNumId w:val="0"/>
  </w:num>
  <w:num w:numId="7" w16cid:durableId="1411392580">
    <w:abstractNumId w:val="23"/>
  </w:num>
  <w:num w:numId="8" w16cid:durableId="1984458822">
    <w:abstractNumId w:val="28"/>
  </w:num>
  <w:num w:numId="9" w16cid:durableId="334184487">
    <w:abstractNumId w:val="38"/>
  </w:num>
  <w:num w:numId="10" w16cid:durableId="1295914618">
    <w:abstractNumId w:val="13"/>
  </w:num>
  <w:num w:numId="11" w16cid:durableId="1328827352">
    <w:abstractNumId w:val="25"/>
  </w:num>
  <w:num w:numId="12" w16cid:durableId="1138569835">
    <w:abstractNumId w:val="20"/>
  </w:num>
  <w:num w:numId="13" w16cid:durableId="1797021520">
    <w:abstractNumId w:val="22"/>
  </w:num>
  <w:num w:numId="14" w16cid:durableId="1956597930">
    <w:abstractNumId w:val="36"/>
  </w:num>
  <w:num w:numId="15" w16cid:durableId="2039818478">
    <w:abstractNumId w:val="5"/>
  </w:num>
  <w:num w:numId="16" w16cid:durableId="742072710">
    <w:abstractNumId w:val="24"/>
  </w:num>
  <w:num w:numId="17" w16cid:durableId="1491095049">
    <w:abstractNumId w:val="10"/>
  </w:num>
  <w:num w:numId="18" w16cid:durableId="839002916">
    <w:abstractNumId w:val="1"/>
  </w:num>
  <w:num w:numId="19" w16cid:durableId="1118986918">
    <w:abstractNumId w:val="33"/>
  </w:num>
  <w:num w:numId="20" w16cid:durableId="1878466612">
    <w:abstractNumId w:val="17"/>
  </w:num>
  <w:num w:numId="21" w16cid:durableId="2011370883">
    <w:abstractNumId w:val="12"/>
  </w:num>
  <w:num w:numId="22" w16cid:durableId="1967421848">
    <w:abstractNumId w:val="39"/>
  </w:num>
  <w:num w:numId="23" w16cid:durableId="340469207">
    <w:abstractNumId w:val="6"/>
  </w:num>
  <w:num w:numId="24" w16cid:durableId="1055198631">
    <w:abstractNumId w:val="32"/>
  </w:num>
  <w:num w:numId="25" w16cid:durableId="1836459073">
    <w:abstractNumId w:val="27"/>
  </w:num>
  <w:num w:numId="26" w16cid:durableId="1217283532">
    <w:abstractNumId w:val="35"/>
  </w:num>
  <w:num w:numId="27" w16cid:durableId="1699545950">
    <w:abstractNumId w:val="14"/>
  </w:num>
  <w:num w:numId="28" w16cid:durableId="250429871">
    <w:abstractNumId w:val="21"/>
  </w:num>
  <w:num w:numId="29" w16cid:durableId="638342370">
    <w:abstractNumId w:val="18"/>
  </w:num>
  <w:num w:numId="30" w16cid:durableId="1453554438">
    <w:abstractNumId w:val="29"/>
  </w:num>
  <w:num w:numId="31" w16cid:durableId="1445803364">
    <w:abstractNumId w:val="9"/>
  </w:num>
  <w:num w:numId="32" w16cid:durableId="126897409">
    <w:abstractNumId w:val="16"/>
  </w:num>
  <w:num w:numId="33" w16cid:durableId="998926454">
    <w:abstractNumId w:val="11"/>
  </w:num>
  <w:num w:numId="34" w16cid:durableId="1191988118">
    <w:abstractNumId w:val="2"/>
  </w:num>
  <w:num w:numId="35" w16cid:durableId="31080912">
    <w:abstractNumId w:val="3"/>
  </w:num>
  <w:num w:numId="36" w16cid:durableId="668096842">
    <w:abstractNumId w:val="15"/>
  </w:num>
  <w:num w:numId="37" w16cid:durableId="527762017">
    <w:abstractNumId w:val="37"/>
  </w:num>
  <w:num w:numId="38" w16cid:durableId="867181232">
    <w:abstractNumId w:val="30"/>
  </w:num>
  <w:num w:numId="39" w16cid:durableId="759371896">
    <w:abstractNumId w:val="8"/>
  </w:num>
  <w:num w:numId="40" w16cid:durableId="24923980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93B59"/>
    <w:rsid w:val="002A49E4"/>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4E20"/>
    <w:rsid w:val="00837310"/>
    <w:rsid w:val="008438C5"/>
    <w:rsid w:val="00857756"/>
    <w:rsid w:val="00862CCD"/>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40F27"/>
    <w:rsid w:val="00A4337F"/>
    <w:rsid w:val="00A504F3"/>
    <w:rsid w:val="00A54599"/>
    <w:rsid w:val="00A66896"/>
    <w:rsid w:val="00A74FF5"/>
    <w:rsid w:val="00A902A6"/>
    <w:rsid w:val="00AA53A6"/>
    <w:rsid w:val="00AA5B4D"/>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62C35"/>
    <w:rsid w:val="00C64E39"/>
    <w:rsid w:val="00C66D79"/>
    <w:rsid w:val="00C950BC"/>
    <w:rsid w:val="00C97456"/>
    <w:rsid w:val="00CA378E"/>
    <w:rsid w:val="00CB2896"/>
    <w:rsid w:val="00CB3763"/>
    <w:rsid w:val="00CB3A38"/>
    <w:rsid w:val="00CC660D"/>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90E90"/>
    <w:rsid w:val="00DA28A7"/>
    <w:rsid w:val="00DA555E"/>
    <w:rsid w:val="00DB0245"/>
    <w:rsid w:val="00DB4C39"/>
    <w:rsid w:val="00DC4641"/>
    <w:rsid w:val="00DC7BED"/>
    <w:rsid w:val="00E35299"/>
    <w:rsid w:val="00E55ECC"/>
    <w:rsid w:val="00E57C84"/>
    <w:rsid w:val="00E66F5A"/>
    <w:rsid w:val="00E7177F"/>
    <w:rsid w:val="00E91D36"/>
    <w:rsid w:val="00E97D88"/>
    <w:rsid w:val="00E97F80"/>
    <w:rsid w:val="00EB3341"/>
    <w:rsid w:val="00EC7CE2"/>
    <w:rsid w:val="00ED2FA6"/>
    <w:rsid w:val="00ED48FC"/>
    <w:rsid w:val="00ED554F"/>
    <w:rsid w:val="00EE2316"/>
    <w:rsid w:val="00EF2F7D"/>
    <w:rsid w:val="00EF356F"/>
    <w:rsid w:val="00EF62CD"/>
    <w:rsid w:val="00F00B9B"/>
    <w:rsid w:val="00F01A73"/>
    <w:rsid w:val="00F01D90"/>
    <w:rsid w:val="00F10039"/>
    <w:rsid w:val="00F14A47"/>
    <w:rsid w:val="00F360BD"/>
    <w:rsid w:val="00F436E6"/>
    <w:rsid w:val="00F50C26"/>
    <w:rsid w:val="00F52C0C"/>
    <w:rsid w:val="00F73471"/>
    <w:rsid w:val="00F75C98"/>
    <w:rsid w:val="00F76837"/>
    <w:rsid w:val="00F779B5"/>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customXml/itemProps2.xml><?xml version="1.0" encoding="utf-8"?>
<ds:datastoreItem xmlns:ds="http://schemas.openxmlformats.org/officeDocument/2006/customXml" ds:itemID="{5E63585F-5CE8-4628-9DDB-5C6A34EC3D55}"/>
</file>

<file path=customXml/itemProps3.xml><?xml version="1.0" encoding="utf-8"?>
<ds:datastoreItem xmlns:ds="http://schemas.openxmlformats.org/officeDocument/2006/customXml" ds:itemID="{DC759BBE-0903-4BC2-B27B-769903EE0218}"/>
</file>

<file path=customXml/itemProps4.xml><?xml version="1.0" encoding="utf-8"?>
<ds:datastoreItem xmlns:ds="http://schemas.openxmlformats.org/officeDocument/2006/customXml" ds:itemID="{3CBF0F53-CCA6-4A55-A3B6-76C66430C4DD}"/>
</file>

<file path=docProps/app.xml><?xml version="1.0" encoding="utf-8"?>
<Properties xmlns="http://schemas.openxmlformats.org/officeDocument/2006/extended-properties" xmlns:vt="http://schemas.openxmlformats.org/officeDocument/2006/docPropsVTypes">
  <Template>Normal.dotm</Template>
  <Pages>10</Pages>
  <Words>865</Words>
  <Characters>4934</Characters>
  <DocSecurity>0</DocSecurity>
  <Lines>41</Lines>
  <Paragraphs>11</Paragraphs>
  <ScaleCrop>false</ScaleCrop>
  <LinksUpToDate>false</LinksUpToDate>
  <CharactersWithSpaces>5788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