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99F33" w14:textId="2898B731" w:rsidR="004D4761" w:rsidRPr="008438C5" w:rsidRDefault="00B87198" w:rsidP="004D4761">
      <w:pPr>
        <w:jc w:val="center"/>
        <w:rPr>
          <w:rFonts w:ascii="Times New Roman" w:eastAsiaTheme="majorEastAsia" w:hAnsi="Times New Roman" w:cs="Times New Roman"/>
          <w:b/>
          <w:sz w:val="24"/>
        </w:rPr>
      </w:pPr>
      <w:r w:rsidRPr="001759A7">
        <w:rPr>
          <w:rFonts w:asciiTheme="majorEastAsia" w:eastAsiaTheme="majorEastAsia" w:hAnsiTheme="majorEastAsia" w:cs="Times New Roman"/>
          <w:b/>
          <w:noProof/>
          <w:sz w:val="24"/>
        </w:rPr>
        <mc:AlternateContent>
          <mc:Choice Requires="wps">
            <w:drawing>
              <wp:anchor distT="0" distB="0" distL="114300" distR="114300" simplePos="0" relativeHeight="251659264" behindDoc="0" locked="0" layoutInCell="1" allowOverlap="1" wp14:anchorId="51879542" wp14:editId="37C43551">
                <wp:simplePos x="0" y="0"/>
                <wp:positionH relativeFrom="column">
                  <wp:posOffset>5955030</wp:posOffset>
                </wp:positionH>
                <wp:positionV relativeFrom="paragraph">
                  <wp:posOffset>-146050</wp:posOffset>
                </wp:positionV>
                <wp:extent cx="895350" cy="3714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FFFFFF"/>
                        </a:solidFill>
                        <a:ln w="9525">
                          <a:noFill/>
                          <a:miter lim="800000"/>
                          <a:headEnd/>
                          <a:tailEnd/>
                        </a:ln>
                      </wps:spPr>
                      <wps:txbx>
                        <w:txbxContent>
                          <w:p w14:paraId="41DFF3FD" w14:textId="53C82A5C"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E97F80">
                              <w:rPr>
                                <w:rFonts w:asciiTheme="majorEastAsia" w:eastAsiaTheme="majorEastAsia" w:hAnsiTheme="majorEastAsia" w:hint="eastAsia"/>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79542" id="_x0000_t202" coordsize="21600,21600" o:spt="202" path="m,l,21600r21600,l21600,xe">
                <v:stroke joinstyle="miter"/>
                <v:path gradientshapeok="t" o:connecttype="rect"/>
              </v:shapetype>
              <v:shape id="テキスト ボックス 2" o:spid="_x0000_s1026" type="#_x0000_t202" style="position:absolute;left:0;text-align:left;margin-left:468.9pt;margin-top:-11.5pt;width:7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" stroked="f">
                <v:textbox>
                  <w:txbxContent>
                    <w:p w14:paraId="41DFF3FD" w14:textId="53C82A5C"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E97F80">
                        <w:rPr>
                          <w:rFonts w:asciiTheme="majorEastAsia" w:eastAsiaTheme="majorEastAsia" w:hAnsiTheme="majorEastAsia" w:hint="eastAsia"/>
                        </w:rPr>
                        <w:t>15</w:t>
                      </w:r>
                    </w:p>
                  </w:txbxContent>
                </v:textbox>
              </v:shape>
            </w:pict>
          </mc:Fallback>
        </mc:AlternateContent>
      </w:r>
      <w:r w:rsidR="004D4761"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60020B89" w14:textId="19351C4C" w:rsidR="00EE2316" w:rsidRPr="008438C5" w:rsidRDefault="00EE2316" w:rsidP="006B62FC">
      <w:pPr>
        <w:spacing w:line="400" w:lineRule="exact"/>
        <w:ind w:firstLineChars="400" w:firstLine="800"/>
        <w:jc w:val="left"/>
        <w:rPr>
          <w:rFonts w:ascii="Times New Roman" w:eastAsiaTheme="majorEastAsia" w:hAnsi="Times New Roman" w:cs="Times New Roman"/>
          <w:sz w:val="20"/>
        </w:rPr>
      </w:pPr>
      <w:r w:rsidRPr="008438C5">
        <w:rPr>
          <w:rFonts w:ascii="Times New Roman" w:eastAsiaTheme="majorEastAsia" w:hAnsi="Times New Roman" w:cs="Times New Roman"/>
          <w:sz w:val="20"/>
        </w:rPr>
        <w:t>研修分野・診療科：</w:t>
      </w:r>
      <w:r w:rsidRPr="008438C5">
        <w:rPr>
          <w:rFonts w:ascii="Times New Roman" w:eastAsiaTheme="majorEastAsia" w:hAnsi="Times New Roman" w:cs="Times New Roman"/>
          <w:sz w:val="20"/>
          <w:u w:val="single"/>
        </w:rPr>
        <w:t xml:space="preserve">　　　　　　　　　　　　　　　　</w:t>
      </w:r>
      <w:r w:rsidRPr="008438C5">
        <w:rPr>
          <w:rFonts w:ascii="Times New Roman" w:eastAsiaTheme="majorEastAsia" w:hAnsi="Times New Roman" w:cs="Times New Roman"/>
          <w:sz w:val="20"/>
        </w:rPr>
        <w:t xml:space="preserve">　</w:t>
      </w:r>
    </w:p>
    <w:p w14:paraId="739F11CC" w14:textId="2F185E8A" w:rsidR="009B6428" w:rsidRPr="008438C5" w:rsidRDefault="009B6428" w:rsidP="006B62FC">
      <w:pPr>
        <w:spacing w:line="400" w:lineRule="exact"/>
        <w:ind w:left="760"/>
        <w:jc w:val="left"/>
        <w:rPr>
          <w:rFonts w:ascii="Times New Roman" w:eastAsiaTheme="majorEastAsia" w:hAnsi="Times New Roman" w:cs="Times New Roman"/>
          <w:sz w:val="20"/>
        </w:rPr>
      </w:pPr>
      <w:r w:rsidRPr="008438C5">
        <w:rPr>
          <w:rFonts w:ascii="Times New Roman" w:eastAsiaTheme="majorEastAsia" w:hAnsi="Times New Roman" w:cs="Times New Roman" w:hint="eastAsia"/>
          <w:sz w:val="20"/>
        </w:rPr>
        <w:t xml:space="preserve">観察者　氏名　</w:t>
      </w:r>
      <w:r w:rsidR="00265773" w:rsidRPr="008438C5">
        <w:rPr>
          <w:rFonts w:ascii="Times New Roman" w:eastAsiaTheme="majorEastAsia" w:hAnsi="Times New Roman" w:cs="Times New Roman"/>
          <w:sz w:val="20"/>
          <w:u w:val="single"/>
          <w:lang w:eastAsia="zh-TW"/>
        </w:rPr>
        <w:t xml:space="preserve">　　　　　　　　　　　　</w:t>
      </w:r>
      <w:r w:rsidR="00265773" w:rsidRPr="008438C5">
        <w:rPr>
          <w:rFonts w:ascii="Times New Roman" w:eastAsiaTheme="majorEastAsia" w:hAnsi="Times New Roman" w:cs="Times New Roman"/>
          <w:sz w:val="20"/>
          <w:lang w:eastAsia="zh-TW"/>
        </w:rPr>
        <w:t xml:space="preserve">　</w:t>
      </w:r>
      <w:r w:rsidRPr="008438C5">
        <w:rPr>
          <w:rFonts w:asciiTheme="majorEastAsia" w:eastAsiaTheme="majorEastAsia" w:hAnsiTheme="majorEastAsia" w:hint="eastAsia"/>
          <w:sz w:val="20"/>
        </w:rPr>
        <w:t>区分　□医師　□</w:t>
      </w:r>
      <w:r w:rsidR="00950916" w:rsidRPr="008438C5">
        <w:rPr>
          <w:rFonts w:asciiTheme="majorEastAsia" w:eastAsiaTheme="majorEastAsia" w:hAnsiTheme="majorEastAsia" w:hint="eastAsia"/>
          <w:sz w:val="20"/>
        </w:rPr>
        <w:t>医師以外</w:t>
      </w:r>
      <w:r w:rsidRPr="008438C5">
        <w:rPr>
          <w:rFonts w:asciiTheme="majorEastAsia" w:eastAsiaTheme="majorEastAsia" w:hAnsiTheme="majorEastAsia" w:cs="Times New Roman" w:hint="eastAsia"/>
          <w:sz w:val="20"/>
        </w:rPr>
        <w:t>（</w:t>
      </w:r>
      <w:r w:rsidRPr="008438C5">
        <w:rPr>
          <w:rFonts w:asciiTheme="majorEastAsia" w:eastAsiaTheme="majorEastAsia" w:hAnsiTheme="majorEastAsia" w:hint="eastAsia"/>
          <w:sz w:val="20"/>
        </w:rPr>
        <w:t xml:space="preserve">職種名　　　　　　　　 </w:t>
      </w:r>
      <w:r w:rsidRPr="008438C5">
        <w:rPr>
          <w:rFonts w:asciiTheme="majorEastAsia" w:eastAsiaTheme="majorEastAsia" w:hAnsiTheme="majorEastAsia" w:cs="Times New Roman"/>
          <w:sz w:val="20"/>
        </w:rPr>
        <w:t>）</w:t>
      </w:r>
    </w:p>
    <w:p w14:paraId="4E17E355" w14:textId="77777777" w:rsidR="009B6428" w:rsidRPr="008438C5" w:rsidRDefault="009B6428" w:rsidP="006B62FC">
      <w:pPr>
        <w:spacing w:line="400" w:lineRule="exact"/>
        <w:ind w:firstLineChars="400" w:firstLine="800"/>
        <w:jc w:val="left"/>
        <w:rPr>
          <w:rFonts w:asciiTheme="majorEastAsia" w:eastAsiaTheme="majorEastAsia" w:hAnsiTheme="majorEastAsia" w:cs="Times New Roman"/>
          <w:sz w:val="20"/>
        </w:rPr>
      </w:pPr>
      <w:r w:rsidRPr="008438C5">
        <w:rPr>
          <w:rFonts w:asciiTheme="majorEastAsia" w:eastAsiaTheme="majorEastAsia" w:hAnsiTheme="majorEastAsia" w:cs="Times New Roman" w:hint="eastAsia"/>
          <w:sz w:val="20"/>
        </w:rPr>
        <w:t xml:space="preserve">観察期間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r w:rsidRPr="008438C5">
        <w:rPr>
          <w:rFonts w:asciiTheme="majorEastAsia" w:eastAsiaTheme="majorEastAsia" w:hAnsiTheme="majorEastAsia" w:cs="Times New Roman" w:hint="eastAsia"/>
          <w:sz w:val="20"/>
        </w:rPr>
        <w:t xml:space="preserve">　～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54FAA603" w14:textId="77777777" w:rsidR="00950916" w:rsidRPr="008438C5" w:rsidRDefault="00950916" w:rsidP="004D4761">
      <w:pPr>
        <w:jc w:val="center"/>
        <w:rPr>
          <w:rFonts w:ascii="Times New Roman" w:eastAsiaTheme="majorEastAsia" w:hAnsi="Times New Roman" w:cs="Times New Roman"/>
          <w:sz w:val="22"/>
        </w:rPr>
      </w:pPr>
    </w:p>
    <w:p w14:paraId="22F7B066" w14:textId="77777777" w:rsidR="007D2342" w:rsidRPr="008438C5" w:rsidRDefault="007D2342"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6685D224" w14:textId="77777777" w:rsidR="00DA555E" w:rsidRPr="008438C5" w:rsidRDefault="00DA555E" w:rsidP="00904231">
            <w:pPr>
              <w:rPr>
                <w:rFonts w:ascii="ＭＳ 明朝" w:eastAsia="ＭＳ 明朝" w:hAnsi="ＭＳ 明朝" w:cs="Times New Roman"/>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w:t>
            </w:r>
            <w:r w:rsidRPr="008438C5">
              <w:rPr>
                <w:rFonts w:ascii="Times New Roman" w:eastAsiaTheme="majorEastAsia" w:hAnsi="Times New Roman" w:cs="Times New Roman" w:hint="eastAsia"/>
                <w:sz w:val="26"/>
              </w:rPr>
              <w:lastRenderedPageBreak/>
              <w:t>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B3D1F" w14:textId="77777777" w:rsidR="00415BAE" w:rsidRDefault="00415BAE" w:rsidP="004D1CC2">
      <w:r>
        <w:separator/>
      </w:r>
    </w:p>
  </w:endnote>
  <w:endnote w:type="continuationSeparator" w:id="0">
    <w:p w14:paraId="687B3220" w14:textId="77777777" w:rsidR="00415BAE" w:rsidRDefault="00415BAE"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B0DB2" w14:textId="77777777" w:rsidR="00415BAE" w:rsidRDefault="00415BAE" w:rsidP="004D1CC2">
      <w:r>
        <w:separator/>
      </w:r>
    </w:p>
  </w:footnote>
  <w:footnote w:type="continuationSeparator" w:id="0">
    <w:p w14:paraId="39D5CD79" w14:textId="77777777" w:rsidR="00415BAE" w:rsidRDefault="00415BAE"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7"/>
  </w:num>
  <w:num w:numId="3">
    <w:abstractNumId w:val="26"/>
  </w:num>
  <w:num w:numId="4">
    <w:abstractNumId w:val="34"/>
  </w:num>
  <w:num w:numId="5">
    <w:abstractNumId w:val="19"/>
  </w:num>
  <w:num w:numId="6">
    <w:abstractNumId w:val="0"/>
  </w:num>
  <w:num w:numId="7">
    <w:abstractNumId w:val="23"/>
  </w:num>
  <w:num w:numId="8">
    <w:abstractNumId w:val="28"/>
  </w:num>
  <w:num w:numId="9">
    <w:abstractNumId w:val="38"/>
  </w:num>
  <w:num w:numId="10">
    <w:abstractNumId w:val="13"/>
  </w:num>
  <w:num w:numId="11">
    <w:abstractNumId w:val="25"/>
  </w:num>
  <w:num w:numId="12">
    <w:abstractNumId w:val="20"/>
  </w:num>
  <w:num w:numId="13">
    <w:abstractNumId w:val="22"/>
  </w:num>
  <w:num w:numId="14">
    <w:abstractNumId w:val="36"/>
  </w:num>
  <w:num w:numId="15">
    <w:abstractNumId w:val="5"/>
  </w:num>
  <w:num w:numId="16">
    <w:abstractNumId w:val="24"/>
  </w:num>
  <w:num w:numId="17">
    <w:abstractNumId w:val="10"/>
  </w:num>
  <w:num w:numId="18">
    <w:abstractNumId w:val="1"/>
  </w:num>
  <w:num w:numId="19">
    <w:abstractNumId w:val="33"/>
  </w:num>
  <w:num w:numId="20">
    <w:abstractNumId w:val="17"/>
  </w:num>
  <w:num w:numId="21">
    <w:abstractNumId w:val="12"/>
  </w:num>
  <w:num w:numId="22">
    <w:abstractNumId w:val="39"/>
  </w:num>
  <w:num w:numId="23">
    <w:abstractNumId w:val="6"/>
  </w:num>
  <w:num w:numId="24">
    <w:abstractNumId w:val="32"/>
  </w:num>
  <w:num w:numId="25">
    <w:abstractNumId w:val="27"/>
  </w:num>
  <w:num w:numId="26">
    <w:abstractNumId w:val="35"/>
  </w:num>
  <w:num w:numId="27">
    <w:abstractNumId w:val="14"/>
  </w:num>
  <w:num w:numId="28">
    <w:abstractNumId w:val="21"/>
  </w:num>
  <w:num w:numId="29">
    <w:abstractNumId w:val="18"/>
  </w:num>
  <w:num w:numId="30">
    <w:abstractNumId w:val="29"/>
  </w:num>
  <w:num w:numId="31">
    <w:abstractNumId w:val="9"/>
  </w:num>
  <w:num w:numId="32">
    <w:abstractNumId w:val="16"/>
  </w:num>
  <w:num w:numId="33">
    <w:abstractNumId w:val="11"/>
  </w:num>
  <w:num w:numId="34">
    <w:abstractNumId w:val="2"/>
  </w:num>
  <w:num w:numId="35">
    <w:abstractNumId w:val="3"/>
  </w:num>
  <w:num w:numId="36">
    <w:abstractNumId w:val="15"/>
  </w:num>
  <w:num w:numId="37">
    <w:abstractNumId w:val="37"/>
  </w:num>
  <w:num w:numId="38">
    <w:abstractNumId w:val="30"/>
  </w:num>
  <w:num w:numId="39">
    <w:abstractNumId w:val="8"/>
  </w:num>
  <w:num w:numId="4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7456"/>
    <w:rsid w:val="00CA378E"/>
    <w:rsid w:val="00CB2896"/>
    <w:rsid w:val="00CB3763"/>
    <w:rsid w:val="00CB3A38"/>
    <w:rsid w:val="00CC660D"/>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A28A7"/>
    <w:rsid w:val="00DA555E"/>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2023-03-31T08:33:00Z</dcterms:created>
  <dcterms:modified xsi:type="dcterms:W3CDTF">2023-03-31T08:33:00Z</dcterms:modified>
</cp:coreProperties>
</file>