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F70B" w14:textId="57C56D0B" w:rsidR="00D6512C" w:rsidRPr="006D7EA4" w:rsidRDefault="00F00B2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F00B2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F00B2E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77E9" w14:textId="1BE97745" w:rsidR="00124779" w:rsidRDefault="00F00B2E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A3C65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03F5A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0B2E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C2C41-F0BF-4F6C-AE0F-0AC4B30A9E92}"/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18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