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1BF6B" w14:textId="77777777" w:rsidR="000B6F62" w:rsidRPr="006C612F" w:rsidRDefault="000B6F62" w:rsidP="000B6F62">
      <w:pPr>
        <w:spacing w:after="240"/>
        <w:rPr>
          <w:rFonts w:asciiTheme="minorHAnsi" w:eastAsia="ＭＳ ゴシック" w:hAnsiTheme="minorHAnsi" w:cstheme="minorHAnsi"/>
          <w:b/>
          <w:sz w:val="21"/>
          <w:szCs w:val="21"/>
          <w:lang w:val="es-ES"/>
        </w:rPr>
      </w:pPr>
      <w:r w:rsidRPr="006C612F">
        <w:rPr>
          <w:rFonts w:asciiTheme="minorHAnsi" w:eastAsia="ＭＳ ゴシック" w:hAnsiTheme="minorHAnsi" w:cstheme="minorHAnsi"/>
          <w:b/>
          <w:sz w:val="21"/>
          <w:szCs w:val="21"/>
          <w:lang w:val="es-ES" w:bidi="es-ES"/>
        </w:rPr>
        <w:t>Formulario 21</w:t>
      </w:r>
    </w:p>
    <w:p w14:paraId="4C2D6080" w14:textId="6A9A6E6D" w:rsidR="00755351" w:rsidRPr="0028404C" w:rsidRDefault="000B6F62" w:rsidP="000B6F62">
      <w:pPr>
        <w:jc w:val="center"/>
        <w:rPr>
          <w:rFonts w:asciiTheme="minorHAnsi" w:hAnsiTheme="minorHAnsi" w:cstheme="minorHAnsi"/>
          <w:lang w:val="es-ES"/>
        </w:rPr>
      </w:pPr>
      <w:r w:rsidRPr="0028404C">
        <w:rPr>
          <w:rFonts w:asciiTheme="minorHAnsi" w:eastAsia="ＭＳ ゴシック" w:hAnsiTheme="minorHAnsi" w:cstheme="minorHAnsi"/>
          <w:b/>
          <w:szCs w:val="21"/>
          <w:lang w:val="es-ES" w:bidi="es-ES"/>
        </w:rPr>
        <w:t>Aviso sobre la determinación de la hospitalización involuntaria</w:t>
      </w:r>
    </w:p>
    <w:p w14:paraId="03DBFD66" w14:textId="77777777" w:rsidR="00755351" w:rsidRPr="0028404C" w:rsidRDefault="00755351">
      <w:pPr>
        <w:pStyle w:val="a3"/>
        <w:spacing w:before="169"/>
        <w:ind w:left="0"/>
        <w:rPr>
          <w:rFonts w:asciiTheme="minorHAnsi" w:hAnsiTheme="minorHAnsi" w:cstheme="minorHAnsi"/>
          <w:b/>
          <w:lang w:val="es-ES"/>
        </w:rPr>
      </w:pPr>
    </w:p>
    <w:p w14:paraId="2994DEF0" w14:textId="5708A4EB" w:rsidR="00755351" w:rsidRPr="0028404C" w:rsidRDefault="000B6F62" w:rsidP="000B6F62">
      <w:pPr>
        <w:pStyle w:val="a3"/>
        <w:tabs>
          <w:tab w:val="left" w:pos="8080"/>
          <w:tab w:val="left" w:pos="8647"/>
        </w:tabs>
        <w:ind w:left="5670"/>
        <w:rPr>
          <w:rFonts w:asciiTheme="minorHAnsi" w:hAnsiTheme="minorHAnsi" w:cstheme="minorHAnsi"/>
          <w:lang w:val="es-ES"/>
        </w:rPr>
      </w:pPr>
      <w:r w:rsidRPr="0028404C">
        <w:rPr>
          <w:rFonts w:asciiTheme="minorHAnsi" w:hAnsiTheme="minorHAnsi" w:cstheme="minorHAnsi"/>
          <w:lang w:val="es-ES" w:bidi="es-ES"/>
        </w:rPr>
        <w:t>Fecha</w:t>
      </w:r>
      <w:r w:rsidRPr="0028404C">
        <w:rPr>
          <w:rFonts w:asciiTheme="minorHAnsi" w:hAnsiTheme="minorHAnsi" w:cstheme="minorHAnsi"/>
          <w:lang w:val="es-419" w:bidi="es-ES"/>
        </w:rPr>
        <w:t xml:space="preserve"> (dd/mm/aaaa):   </w:t>
      </w:r>
      <w:r w:rsidRPr="0028404C">
        <w:rPr>
          <w:rFonts w:asciiTheme="minorHAnsi" w:hAnsiTheme="minorHAnsi" w:cstheme="minorHAnsi"/>
          <w:lang w:val="es-419" w:bidi="es-ES"/>
        </w:rPr>
        <w:tab/>
        <w:t xml:space="preserve">/  </w:t>
      </w:r>
      <w:r w:rsidRPr="0028404C">
        <w:rPr>
          <w:rFonts w:asciiTheme="minorHAnsi" w:hAnsiTheme="minorHAnsi" w:cstheme="minorHAnsi"/>
          <w:lang w:val="es-419" w:bidi="es-ES"/>
        </w:rPr>
        <w:tab/>
        <w:t>/</w:t>
      </w:r>
      <w:r w:rsidRPr="0028404C">
        <w:rPr>
          <w:rFonts w:asciiTheme="minorHAnsi" w:hAnsiTheme="minorHAnsi" w:cstheme="minorHAnsi"/>
          <w:lang w:val="es-419" w:bidi="es-ES"/>
        </w:rPr>
        <w:tab/>
        <w:t xml:space="preserve">      </w:t>
      </w:r>
    </w:p>
    <w:p w14:paraId="6975C646" w14:textId="4AD92D29" w:rsidR="00755351" w:rsidRPr="0028404C" w:rsidRDefault="000B6F62" w:rsidP="000B6F62">
      <w:pPr>
        <w:pStyle w:val="a3"/>
        <w:spacing w:line="340" w:lineRule="exact"/>
        <w:ind w:left="59" w:rightChars="-81" w:right="-178"/>
        <w:rPr>
          <w:rFonts w:asciiTheme="minorHAnsi" w:hAnsiTheme="minorHAnsi" w:cstheme="minorHAnsi"/>
          <w:lang w:val="es-ES"/>
        </w:rPr>
      </w:pPr>
      <w:r w:rsidRPr="0028404C">
        <w:rPr>
          <w:rFonts w:asciiTheme="minorHAnsi" w:hAnsiTheme="minorHAnsi" w:cstheme="minorHAnsi"/>
          <w:sz w:val="22"/>
          <w:szCs w:val="22"/>
          <w:lang w:val="es-ES" w:bidi="es-ES"/>
        </w:rPr>
        <w:t xml:space="preserve">Sr./Sra. </w:t>
      </w:r>
      <w:r w:rsidRPr="0028404C">
        <w:rPr>
          <w:rFonts w:asciiTheme="minorHAnsi" w:hAnsiTheme="minorHAnsi" w:cstheme="minorHAnsi"/>
          <w:color w:val="808080"/>
          <w:sz w:val="22"/>
          <w:szCs w:val="22"/>
          <w:lang w:val="es-ES"/>
        </w:rPr>
        <w:t>(Nombre del paciente de hospitalización involuntaria)</w:t>
      </w:r>
    </w:p>
    <w:p w14:paraId="66446569" w14:textId="15C099B0" w:rsidR="00755351" w:rsidRPr="0028404C" w:rsidRDefault="000B6F62" w:rsidP="000B6F62">
      <w:pPr>
        <w:pStyle w:val="a3"/>
        <w:ind w:right="54"/>
        <w:jc w:val="right"/>
        <w:rPr>
          <w:rFonts w:asciiTheme="minorHAnsi" w:hAnsiTheme="minorHAnsi" w:cstheme="minorHAnsi"/>
          <w:lang w:val="es-ES"/>
        </w:rPr>
      </w:pPr>
      <w:r w:rsidRPr="0028404C">
        <w:rPr>
          <w:rFonts w:asciiTheme="minorHAnsi" w:hAnsiTheme="minorHAnsi" w:cstheme="minorHAnsi"/>
          <w:lang w:val="es-ES" w:bidi="es-ES"/>
        </w:rPr>
        <w:t xml:space="preserve">Gobernador </w:t>
      </w:r>
      <w:r w:rsidRPr="0028404C">
        <w:rPr>
          <w:rFonts w:asciiTheme="minorHAnsi" w:hAnsiTheme="minorHAnsi" w:cstheme="minorHAnsi"/>
          <w:u w:val="single"/>
          <w:lang w:val="es-ES" w:bidi="es-ES"/>
        </w:rPr>
        <w:tab/>
      </w:r>
      <w:r w:rsidRPr="0028404C">
        <w:rPr>
          <w:rFonts w:asciiTheme="minorHAnsi" w:hAnsiTheme="minorHAnsi" w:cstheme="minorHAnsi"/>
          <w:u w:val="single"/>
          <w:lang w:val="es-ES" w:bidi="es-ES"/>
        </w:rPr>
        <w:tab/>
      </w:r>
      <w:r w:rsidRPr="0028404C">
        <w:rPr>
          <w:rFonts w:asciiTheme="minorHAnsi" w:hAnsiTheme="minorHAnsi" w:cstheme="minorHAnsi"/>
          <w:u w:val="single"/>
          <w:lang w:val="es-ES" w:bidi="es-ES"/>
        </w:rPr>
        <w:tab/>
      </w:r>
    </w:p>
    <w:p w14:paraId="68F36241" w14:textId="77777777" w:rsidR="00755351" w:rsidRPr="0028404C" w:rsidRDefault="00755351">
      <w:pPr>
        <w:pStyle w:val="a3"/>
        <w:spacing w:before="174"/>
        <w:ind w:left="0"/>
        <w:rPr>
          <w:rFonts w:asciiTheme="minorHAnsi" w:hAnsiTheme="minorHAnsi" w:cstheme="minorHAnsi"/>
          <w:lang w:val="es-ES"/>
        </w:rPr>
      </w:pPr>
    </w:p>
    <w:p w14:paraId="5C0D5425" w14:textId="4D0A57F1" w:rsidR="00755351" w:rsidRPr="0028404C" w:rsidRDefault="000B6F62">
      <w:pPr>
        <w:pStyle w:val="a3"/>
        <w:rPr>
          <w:rFonts w:asciiTheme="minorHAnsi" w:hAnsiTheme="minorHAnsi" w:cstheme="minorHAnsi"/>
          <w:lang w:val="es-ES"/>
        </w:rPr>
      </w:pPr>
      <w:r w:rsidRPr="0028404C">
        <w:rPr>
          <w:rFonts w:asciiTheme="minorHAnsi" w:hAnsiTheme="minorHAnsi" w:cstheme="minorHAnsi"/>
          <w:spacing w:val="-3"/>
          <w:lang w:val="es-ES"/>
        </w:rPr>
        <w:t>[Sobre las razones de hospitalización]</w:t>
      </w:r>
    </w:p>
    <w:p w14:paraId="015373C8" w14:textId="51393936" w:rsidR="000B6F62" w:rsidRPr="0028404C" w:rsidRDefault="000B6F62" w:rsidP="00E91DA3">
      <w:pPr>
        <w:pStyle w:val="a3"/>
        <w:tabs>
          <w:tab w:val="left" w:pos="2835"/>
        </w:tabs>
        <w:spacing w:before="87" w:line="316" w:lineRule="auto"/>
        <w:ind w:right="105"/>
        <w:jc w:val="both"/>
        <w:rPr>
          <w:rFonts w:asciiTheme="minorHAnsi" w:hAnsiTheme="minorHAnsi" w:cstheme="minorHAnsi"/>
          <w:spacing w:val="-2"/>
          <w:lang w:val="es-ES"/>
        </w:rPr>
      </w:pPr>
      <w:r w:rsidRPr="0028404C">
        <w:rPr>
          <w:rFonts w:asciiTheme="minorHAnsi" w:hAnsiTheme="minorHAnsi" w:cstheme="minorHAnsi"/>
          <w:spacing w:val="-3"/>
          <w:lang w:val="es-ES"/>
        </w:rPr>
        <w:t>Como resultado del examen médico realizado por un m</w:t>
      </w:r>
      <w:r w:rsidRPr="0028404C">
        <w:rPr>
          <w:rFonts w:asciiTheme="minorHAnsi" w:hAnsiTheme="minorHAnsi" w:cstheme="minorHAnsi"/>
          <w:lang w:val="es-ES"/>
        </w:rPr>
        <w:t>édico designado de salud mental</w:t>
      </w:r>
      <w:r w:rsidRPr="0028404C">
        <w:rPr>
          <w:rFonts w:asciiTheme="minorHAnsi" w:hAnsiTheme="minorHAnsi" w:cstheme="minorHAnsi"/>
          <w:spacing w:val="-3"/>
          <w:lang w:val="es-ES"/>
        </w:rPr>
        <w:t>, se ha determinado que usted padece [</w:t>
      </w:r>
      <w:r w:rsidRPr="0028404C">
        <w:rPr>
          <w:rFonts w:asciiTheme="minorHAnsi" w:hAnsiTheme="minorHAnsi" w:cstheme="minorHAnsi"/>
          <w:spacing w:val="-2"/>
          <w:lang w:val="es-ES"/>
        </w:rPr>
        <w:t>①</w:t>
      </w:r>
      <w:r w:rsidRPr="0028404C">
        <w:rPr>
          <w:rFonts w:asciiTheme="minorHAnsi" w:hAnsiTheme="minorHAnsi" w:cstheme="minorHAnsi"/>
          <w:spacing w:val="-10"/>
          <w:lang w:val="es-ES"/>
        </w:rPr>
        <w:t xml:space="preserve"> </w:t>
      </w:r>
      <w:r w:rsidRPr="0028404C">
        <w:rPr>
          <w:rFonts w:asciiTheme="minorHAnsi" w:hAnsiTheme="minorHAnsi" w:cstheme="minorHAnsi"/>
          <w:spacing w:val="-3"/>
          <w:szCs w:val="22"/>
          <w:lang w:val="es-ES"/>
        </w:rPr>
        <w:t xml:space="preserve">Alucinaciones e ideas delirantes, </w:t>
      </w:r>
      <w:r w:rsidRPr="0028404C">
        <w:rPr>
          <w:rFonts w:asciiTheme="minorHAnsi" w:hAnsiTheme="minorHAnsi" w:cstheme="minorHAnsi"/>
          <w:spacing w:val="-10"/>
          <w:lang w:val="es-ES"/>
        </w:rPr>
        <w:t>②</w:t>
      </w:r>
      <w:r w:rsidRPr="0028404C">
        <w:rPr>
          <w:rFonts w:asciiTheme="minorHAnsi" w:hAnsiTheme="minorHAnsi" w:cstheme="minorHAnsi"/>
          <w:spacing w:val="-3"/>
          <w:szCs w:val="22"/>
          <w:lang w:val="es-ES"/>
        </w:rPr>
        <w:t xml:space="preserve"> Estado de agitación psicomotora, </w:t>
      </w:r>
      <w:r w:rsidRPr="0028404C">
        <w:rPr>
          <w:rFonts w:asciiTheme="minorHAnsi" w:hAnsiTheme="minorHAnsi" w:cstheme="minorHAnsi"/>
          <w:spacing w:val="-2"/>
          <w:lang w:val="es-ES"/>
        </w:rPr>
        <w:t>③</w:t>
      </w:r>
      <w:r w:rsidRPr="0028404C">
        <w:rPr>
          <w:rFonts w:asciiTheme="minorHAnsi" w:hAnsiTheme="minorHAnsi" w:cstheme="minorHAnsi"/>
          <w:spacing w:val="-10"/>
          <w:lang w:val="es-ES"/>
        </w:rPr>
        <w:t xml:space="preserve"> Estu</w:t>
      </w:r>
      <w:r w:rsidRPr="0028404C">
        <w:rPr>
          <w:rFonts w:asciiTheme="minorHAnsi" w:hAnsiTheme="minorHAnsi" w:cstheme="minorHAnsi"/>
          <w:spacing w:val="-3"/>
          <w:szCs w:val="22"/>
          <w:lang w:val="es-ES"/>
        </w:rPr>
        <w:t xml:space="preserve">por, ④ </w:t>
      </w:r>
      <w:r w:rsidRPr="0028404C">
        <w:rPr>
          <w:rFonts w:asciiTheme="minorHAnsi" w:hAnsiTheme="minorHAnsi" w:cstheme="minorHAnsi"/>
          <w:spacing w:val="-10"/>
          <w:lang w:val="es-ES"/>
        </w:rPr>
        <w:t xml:space="preserve">Estado de esquizofrenia residual, etc., </w:t>
      </w:r>
      <w:r w:rsidRPr="0028404C">
        <w:rPr>
          <w:rFonts w:asciiTheme="minorHAnsi" w:hAnsiTheme="minorHAnsi" w:cstheme="minorHAnsi"/>
          <w:spacing w:val="-2"/>
          <w:lang w:val="es-ES"/>
        </w:rPr>
        <w:t>⑤</w:t>
      </w:r>
      <w:r w:rsidRPr="0028404C">
        <w:rPr>
          <w:rFonts w:asciiTheme="minorHAnsi" w:hAnsiTheme="minorHAnsi" w:cstheme="minorHAnsi"/>
          <w:spacing w:val="-10"/>
          <w:lang w:val="es-ES"/>
        </w:rPr>
        <w:t xml:space="preserve">Depresión, </w:t>
      </w:r>
      <w:r w:rsidRPr="0028404C">
        <w:rPr>
          <w:rFonts w:asciiTheme="minorHAnsi" w:hAnsiTheme="minorHAnsi" w:cstheme="minorHAnsi"/>
          <w:spacing w:val="-2"/>
          <w:lang w:val="es-ES"/>
        </w:rPr>
        <w:t>⑥</w:t>
      </w:r>
      <w:r w:rsidRPr="0028404C">
        <w:rPr>
          <w:rFonts w:asciiTheme="minorHAnsi" w:hAnsiTheme="minorHAnsi" w:cstheme="minorHAnsi"/>
          <w:spacing w:val="-10"/>
          <w:lang w:val="es-ES"/>
        </w:rPr>
        <w:t xml:space="preserve">Trastorno bipolar, </w:t>
      </w:r>
      <w:r w:rsidRPr="0028404C">
        <w:rPr>
          <w:rFonts w:asciiTheme="minorHAnsi" w:hAnsiTheme="minorHAnsi" w:cstheme="minorHAnsi"/>
          <w:spacing w:val="-2"/>
          <w:lang w:val="es-ES"/>
        </w:rPr>
        <w:t>⑦</w:t>
      </w:r>
      <w:r w:rsidRPr="0028404C">
        <w:rPr>
          <w:rFonts w:asciiTheme="minorHAnsi" w:hAnsiTheme="minorHAnsi" w:cstheme="minorHAnsi"/>
          <w:spacing w:val="-10"/>
          <w:lang w:val="es-ES"/>
        </w:rPr>
        <w:t xml:space="preserve">Delirio, </w:t>
      </w:r>
      <w:r w:rsidRPr="0028404C">
        <w:rPr>
          <w:rFonts w:asciiTheme="minorHAnsi" w:hAnsiTheme="minorHAnsi" w:cstheme="minorHAnsi"/>
          <w:spacing w:val="-6"/>
          <w:lang w:val="es-ES"/>
        </w:rPr>
        <w:t>⑧ E</w:t>
      </w:r>
      <w:r w:rsidRPr="0028404C">
        <w:rPr>
          <w:rFonts w:asciiTheme="minorHAnsi" w:hAnsiTheme="minorHAnsi" w:cstheme="minorHAnsi"/>
          <w:spacing w:val="-10"/>
          <w:lang w:val="es-ES"/>
        </w:rPr>
        <w:t xml:space="preserve">stado de enturbiamiento de la conciencia, </w:t>
      </w:r>
      <w:r w:rsidRPr="0028404C">
        <w:rPr>
          <w:rFonts w:asciiTheme="minorHAnsi" w:hAnsiTheme="minorHAnsi" w:cstheme="minorHAnsi"/>
          <w:spacing w:val="-2"/>
          <w:lang w:val="es-ES"/>
        </w:rPr>
        <w:t>⑨</w:t>
      </w:r>
      <w:r w:rsidRPr="0028404C">
        <w:rPr>
          <w:rFonts w:asciiTheme="minorHAnsi" w:hAnsiTheme="minorHAnsi" w:cstheme="minorHAnsi"/>
          <w:spacing w:val="-10"/>
          <w:lang w:val="es-ES"/>
        </w:rPr>
        <w:t xml:space="preserve">Estado de demencia, ⑩ </w:t>
      </w:r>
      <w:bookmarkStart w:id="0" w:name="_Hlk168731772"/>
      <w:r w:rsidRPr="0028404C">
        <w:rPr>
          <w:rFonts w:asciiTheme="minorHAnsi" w:hAnsiTheme="minorHAnsi" w:cstheme="minorHAnsi"/>
          <w:spacing w:val="-2"/>
          <w:lang w:val="es-ES"/>
        </w:rPr>
        <w:t>Otro (</w:t>
      </w:r>
      <w:r w:rsidRPr="0028404C">
        <w:rPr>
          <w:rFonts w:asciiTheme="minorHAnsi" w:hAnsiTheme="minorHAnsi" w:cstheme="minorHAnsi"/>
          <w:lang w:val="es-ES"/>
        </w:rPr>
        <w:tab/>
      </w:r>
      <w:r w:rsidRPr="0028404C">
        <w:rPr>
          <w:rFonts w:asciiTheme="minorHAnsi" w:hAnsiTheme="minorHAnsi" w:cstheme="minorHAnsi"/>
          <w:spacing w:val="-10"/>
          <w:lang w:val="es-ES"/>
        </w:rPr>
        <w:t>)</w:t>
      </w:r>
      <w:bookmarkEnd w:id="0"/>
      <w:r w:rsidRPr="0028404C">
        <w:rPr>
          <w:rFonts w:asciiTheme="minorHAnsi" w:hAnsiTheme="minorHAnsi" w:cstheme="minorHAnsi"/>
          <w:spacing w:val="-10"/>
          <w:lang w:val="es-ES"/>
        </w:rPr>
        <w:t xml:space="preserve">], y existe el riesgo de </w:t>
      </w:r>
      <w:r w:rsidR="00E91DA3" w:rsidRPr="0028404C">
        <w:rPr>
          <w:rFonts w:asciiTheme="minorHAnsi" w:hAnsiTheme="minorHAnsi" w:cstheme="minorHAnsi"/>
          <w:spacing w:val="-10"/>
          <w:lang w:val="es-ES"/>
        </w:rPr>
        <w:t>que se autolesione o dañe a otras personas, por lo que le notificamos que hemos considerado que necesitamos toma</w:t>
      </w:r>
      <w:r w:rsidR="00E91DA3" w:rsidRPr="0028404C">
        <w:rPr>
          <w:rFonts w:asciiTheme="minorHAnsi" w:hAnsiTheme="minorHAnsi" w:cstheme="minorHAnsi"/>
          <w:spacing w:val="-2"/>
          <w:lang w:val="es-ES"/>
        </w:rPr>
        <w:t xml:space="preserve">r medidas de hospitalización (hospitalización involuntaria/hospitalización involuntaria de emergencia) de conformidad con las [①disposiciones del Artículo 29 de la </w:t>
      </w:r>
      <w:r w:rsidR="00E91DA3" w:rsidRPr="0028404C">
        <w:rPr>
          <w:rFonts w:asciiTheme="minorHAnsi" w:hAnsiTheme="minorHAnsi" w:cstheme="minorHAnsi"/>
          <w:lang w:val="es-ES"/>
        </w:rPr>
        <w:t xml:space="preserve">Ley de Salud Mental y Bienestar de Personas con Enfermedades Mentales, </w:t>
      </w:r>
      <w:r w:rsidR="00E91DA3" w:rsidRPr="0028404C">
        <w:rPr>
          <w:rFonts w:asciiTheme="minorHAnsi" w:hAnsiTheme="minorHAnsi" w:cstheme="minorHAnsi"/>
          <w:spacing w:val="-10"/>
          <w:lang w:val="es-ES"/>
        </w:rPr>
        <w:t xml:space="preserve">② disposiciones del Artículo 29-2 de la </w:t>
      </w:r>
      <w:r w:rsidR="00E91DA3" w:rsidRPr="0028404C">
        <w:rPr>
          <w:rFonts w:asciiTheme="minorHAnsi" w:hAnsiTheme="minorHAnsi" w:cstheme="minorHAnsi"/>
          <w:lang w:val="es-ES"/>
        </w:rPr>
        <w:t>Ley de Salud Mental y Bienestar de Personas con Enfermedades Mentales].</w:t>
      </w:r>
    </w:p>
    <w:p w14:paraId="1AB2E0C0" w14:textId="77777777" w:rsidR="00755351" w:rsidRPr="0028404C" w:rsidRDefault="00755351">
      <w:pPr>
        <w:pStyle w:val="a3"/>
        <w:spacing w:before="85"/>
        <w:ind w:left="0"/>
        <w:rPr>
          <w:rFonts w:asciiTheme="minorHAnsi" w:hAnsiTheme="minorHAnsi" w:cstheme="minorHAnsi"/>
          <w:lang w:val="es-ES"/>
        </w:rPr>
      </w:pPr>
    </w:p>
    <w:p w14:paraId="4418B314" w14:textId="77777777" w:rsidR="00E91DA3" w:rsidRPr="0028404C" w:rsidRDefault="00E91DA3" w:rsidP="00E91DA3">
      <w:pPr>
        <w:pStyle w:val="a3"/>
        <w:spacing w:before="45"/>
        <w:ind w:left="101"/>
        <w:rPr>
          <w:rFonts w:asciiTheme="minorHAnsi" w:hAnsiTheme="minorHAnsi" w:cstheme="minorHAnsi"/>
          <w:lang w:val="es-ES"/>
        </w:rPr>
      </w:pPr>
      <w:r w:rsidRPr="0028404C">
        <w:rPr>
          <w:rFonts w:asciiTheme="minorHAnsi" w:hAnsiTheme="minorHAnsi" w:cstheme="minorHAnsi"/>
          <w:spacing w:val="-3"/>
          <w:lang w:val="es-ES"/>
        </w:rPr>
        <w:t>[Sobre la vida durante la hospitalización]</w:t>
      </w:r>
    </w:p>
    <w:p w14:paraId="029AEF78" w14:textId="77777777" w:rsidR="00E91DA3" w:rsidRPr="0028404C" w:rsidRDefault="00E91DA3" w:rsidP="00E91DA3">
      <w:pPr>
        <w:pStyle w:val="a5"/>
        <w:numPr>
          <w:ilvl w:val="0"/>
          <w:numId w:val="1"/>
        </w:numPr>
        <w:tabs>
          <w:tab w:val="left" w:pos="521"/>
        </w:tabs>
        <w:spacing w:before="87" w:line="316" w:lineRule="auto"/>
        <w:ind w:right="213"/>
        <w:jc w:val="both"/>
        <w:rPr>
          <w:rFonts w:asciiTheme="minorHAnsi" w:hAnsiTheme="minorHAnsi" w:cstheme="minorHAnsi"/>
          <w:sz w:val="21"/>
          <w:lang w:val="es-ES"/>
        </w:rPr>
      </w:pPr>
      <w:r w:rsidRPr="0028404C">
        <w:rPr>
          <w:rFonts w:asciiTheme="minorHAnsi" w:hAnsiTheme="minorHAnsi" w:cstheme="minorHAnsi"/>
          <w:spacing w:val="-2"/>
          <w:sz w:val="21"/>
          <w:lang w:val="es-ES"/>
        </w:rPr>
        <w:t>Durante su hospitalización, podrá recibir y enviar cartas y postales sin restricciones. Sin embargo, si se determina que hay un objeto extraño en el sobre, es posible que se le solicite que lo abra junto con un personal del hospital y puede ser que el objeto extraño sea conservado en el hospital.</w:t>
      </w:r>
    </w:p>
    <w:p w14:paraId="4B102D96" w14:textId="77777777" w:rsidR="00E91DA3" w:rsidRPr="0028404C" w:rsidRDefault="00E91DA3" w:rsidP="00E91DA3">
      <w:pPr>
        <w:pStyle w:val="a5"/>
        <w:numPr>
          <w:ilvl w:val="0"/>
          <w:numId w:val="1"/>
        </w:numPr>
        <w:tabs>
          <w:tab w:val="left" w:pos="521"/>
        </w:tabs>
        <w:spacing w:line="316" w:lineRule="auto"/>
        <w:ind w:right="213"/>
        <w:jc w:val="both"/>
        <w:rPr>
          <w:rFonts w:asciiTheme="minorHAnsi" w:hAnsiTheme="minorHAnsi" w:cstheme="minorHAnsi"/>
          <w:sz w:val="21"/>
          <w:lang w:val="es-ES"/>
        </w:rPr>
      </w:pPr>
      <w:r w:rsidRPr="0028404C">
        <w:rPr>
          <w:rFonts w:asciiTheme="minorHAnsi" w:hAnsiTheme="minorHAnsi" w:cstheme="minorHAnsi"/>
          <w:spacing w:val="-2"/>
          <w:sz w:val="21"/>
          <w:lang w:val="es-ES"/>
        </w:rPr>
        <w:t>Durante su hospitalización, no se restringirán las llamadas telefónicas ni entrevistas con los funcionarios de organizaciones gubernamentales que defiendan los derechos humanos, abogados que lo representen, ni las entrevistas con abogados que deseen representarlo a pedido suyo o de su familia. Sin embargo, las llamadas telefónicas y entrevistas con otras personas que no sean las mencionadas pueden restringirse temporalmente según su condición de salud por indicaciones de su médico.</w:t>
      </w:r>
    </w:p>
    <w:p w14:paraId="0BEE1786" w14:textId="56ECA40D" w:rsidR="00755351" w:rsidRPr="0028404C" w:rsidRDefault="00E91DA3" w:rsidP="00E91DA3">
      <w:pPr>
        <w:pStyle w:val="a5"/>
        <w:numPr>
          <w:ilvl w:val="0"/>
          <w:numId w:val="1"/>
        </w:numPr>
        <w:tabs>
          <w:tab w:val="left" w:pos="521"/>
        </w:tabs>
        <w:spacing w:line="316" w:lineRule="auto"/>
        <w:ind w:right="213"/>
        <w:jc w:val="both"/>
        <w:rPr>
          <w:rFonts w:asciiTheme="minorHAnsi" w:hAnsiTheme="minorHAnsi" w:cstheme="minorHAnsi"/>
          <w:sz w:val="20"/>
          <w:lang w:val="es-ES"/>
        </w:rPr>
      </w:pPr>
      <w:r w:rsidRPr="0028404C">
        <w:rPr>
          <w:rFonts w:asciiTheme="minorHAnsi" w:hAnsiTheme="minorHAnsi" w:cstheme="minorHAnsi"/>
          <w:spacing w:val="-4"/>
          <w:sz w:val="21"/>
          <w:lang w:val="es-ES"/>
        </w:rPr>
        <w:t xml:space="preserve">Durante su hospitalización, podemos restringir sus </w:t>
      </w:r>
      <w:r w:rsidR="006316D3" w:rsidRPr="0028404C">
        <w:rPr>
          <w:rFonts w:asciiTheme="minorHAnsi" w:hAnsiTheme="minorHAnsi" w:cstheme="minorHAnsi"/>
          <w:spacing w:val="-4"/>
          <w:sz w:val="21"/>
          <w:lang w:val="es-ES"/>
        </w:rPr>
        <w:t xml:space="preserve">comportamientos </w:t>
      </w:r>
      <w:r w:rsidRPr="0028404C">
        <w:rPr>
          <w:rFonts w:asciiTheme="minorHAnsi" w:hAnsiTheme="minorHAnsi" w:cstheme="minorHAnsi"/>
          <w:spacing w:val="-4"/>
          <w:sz w:val="21"/>
          <w:lang w:val="es-ES"/>
        </w:rPr>
        <w:t>si es absolutamente necesario para su tratamiento.</w:t>
      </w:r>
    </w:p>
    <w:p w14:paraId="137AAF90" w14:textId="5980BDBA" w:rsidR="00E91DA3" w:rsidRPr="0028404C" w:rsidRDefault="00E91DA3" w:rsidP="00E91DA3">
      <w:pPr>
        <w:pStyle w:val="a5"/>
        <w:numPr>
          <w:ilvl w:val="0"/>
          <w:numId w:val="1"/>
        </w:numPr>
        <w:tabs>
          <w:tab w:val="left" w:pos="521"/>
        </w:tabs>
        <w:spacing w:line="316" w:lineRule="auto"/>
        <w:ind w:right="213"/>
        <w:jc w:val="both"/>
        <w:rPr>
          <w:rFonts w:asciiTheme="minorHAnsi" w:hAnsiTheme="minorHAnsi" w:cstheme="minorHAnsi"/>
          <w:sz w:val="21"/>
          <w:lang w:val="es-ES"/>
        </w:rPr>
      </w:pPr>
      <w:r w:rsidRPr="0028404C">
        <w:rPr>
          <w:rFonts w:asciiTheme="minorHAnsi" w:hAnsiTheme="minorHAnsi" w:cstheme="minorHAnsi"/>
          <w:spacing w:val="-2"/>
          <w:sz w:val="21"/>
          <w:lang w:val="es-ES"/>
        </w:rPr>
        <w:t>Dentro de los 7 días a partir de la fecha de hospitalización, se nombrará un Asesor del Entorno de Vida después del Alta como un personal que brindará la información, asesoramiento, asistencia, etc., necesarios, en respuesta a consultas suyas y de su familia.</w:t>
      </w:r>
    </w:p>
    <w:p w14:paraId="3AFB5D77" w14:textId="10505F12" w:rsidR="00C87907" w:rsidRPr="0028404C" w:rsidRDefault="00C87907" w:rsidP="00E91DA3">
      <w:pPr>
        <w:pStyle w:val="a5"/>
        <w:numPr>
          <w:ilvl w:val="0"/>
          <w:numId w:val="1"/>
        </w:numPr>
        <w:tabs>
          <w:tab w:val="left" w:pos="521"/>
        </w:tabs>
        <w:spacing w:line="316" w:lineRule="auto"/>
        <w:ind w:right="213"/>
        <w:jc w:val="both"/>
        <w:rPr>
          <w:rFonts w:asciiTheme="minorHAnsi" w:hAnsiTheme="minorHAnsi" w:cstheme="minorHAnsi"/>
          <w:sz w:val="21"/>
          <w:lang w:val="es-ES"/>
        </w:rPr>
      </w:pPr>
      <w:bookmarkStart w:id="1" w:name="_Hlk169187883"/>
      <w:r w:rsidRPr="0028404C">
        <w:rPr>
          <w:rFonts w:asciiTheme="minorHAnsi" w:hAnsiTheme="minorHAnsi" w:cstheme="minorHAnsi"/>
          <w:spacing w:val="-2"/>
          <w:sz w:val="21"/>
          <w:lang w:val="es-ES"/>
        </w:rPr>
        <w:t>Si desea utilizar un seguro</w:t>
      </w:r>
      <w:r w:rsidRPr="0028404C">
        <w:rPr>
          <w:rFonts w:asciiTheme="minorHAnsi" w:hAnsiTheme="minorHAnsi" w:cstheme="minorHAnsi"/>
          <w:lang w:val="es-ES"/>
        </w:rPr>
        <w:t xml:space="preserve"> </w:t>
      </w:r>
      <w:r w:rsidRPr="0028404C">
        <w:rPr>
          <w:rFonts w:asciiTheme="minorHAnsi" w:hAnsiTheme="minorHAnsi" w:cstheme="minorHAnsi"/>
          <w:spacing w:val="-2"/>
          <w:sz w:val="21"/>
          <w:lang w:val="es-ES"/>
        </w:rPr>
        <w:t>de cuidados a largo plazo o servicios de bienestar para personas con discapacidad, o si tiene la necesidad de hacerlo, comuníquese con el personal del hospital, como el Asesor del Entorno de Vida después del Alta, etc., ya que le presentaremos un lugar donde puede consultar sobre cuidados a largo plazo y bienestar para personas con discapacidad.</w:t>
      </w:r>
      <w:bookmarkEnd w:id="1"/>
    </w:p>
    <w:p w14:paraId="765BEC62" w14:textId="242FC78C" w:rsidR="00C87907" w:rsidRPr="0028404C" w:rsidRDefault="00C87907" w:rsidP="00E91DA3">
      <w:pPr>
        <w:pStyle w:val="a5"/>
        <w:numPr>
          <w:ilvl w:val="0"/>
          <w:numId w:val="1"/>
        </w:numPr>
        <w:tabs>
          <w:tab w:val="left" w:pos="521"/>
        </w:tabs>
        <w:spacing w:line="316" w:lineRule="auto"/>
        <w:ind w:right="213"/>
        <w:jc w:val="both"/>
        <w:rPr>
          <w:rFonts w:asciiTheme="minorHAnsi" w:hAnsiTheme="minorHAnsi" w:cstheme="minorHAnsi"/>
          <w:sz w:val="21"/>
          <w:lang w:val="es-ES"/>
        </w:rPr>
      </w:pPr>
      <w:r w:rsidRPr="0028404C">
        <w:rPr>
          <w:rFonts w:asciiTheme="minorHAnsi" w:hAnsiTheme="minorHAnsi" w:cstheme="minorHAnsi"/>
          <w:sz w:val="21"/>
          <w:lang w:val="es-ES"/>
        </w:rPr>
        <w:t>Si tiene alguna duda o inquietud sobre su tratamiento o su vida durante la hospitalización, no dude en hablar con el personal del hospital.</w:t>
      </w:r>
    </w:p>
    <w:p w14:paraId="264C2066" w14:textId="39B7667B" w:rsidR="00C87907" w:rsidRPr="0028404C" w:rsidRDefault="00C87907" w:rsidP="00C87907">
      <w:pPr>
        <w:pStyle w:val="a5"/>
        <w:numPr>
          <w:ilvl w:val="0"/>
          <w:numId w:val="1"/>
        </w:numPr>
        <w:tabs>
          <w:tab w:val="left" w:pos="521"/>
        </w:tabs>
        <w:spacing w:before="5" w:line="316" w:lineRule="auto"/>
        <w:ind w:right="213"/>
        <w:jc w:val="both"/>
        <w:rPr>
          <w:rFonts w:asciiTheme="minorHAnsi" w:hAnsiTheme="minorHAnsi" w:cstheme="minorHAnsi"/>
          <w:sz w:val="21"/>
          <w:lang w:val="es-ES"/>
        </w:rPr>
      </w:pPr>
      <w:bookmarkStart w:id="2" w:name="_Hlk169275337"/>
      <w:r w:rsidRPr="0028404C">
        <w:rPr>
          <w:rFonts w:asciiTheme="minorHAnsi" w:hAnsiTheme="minorHAnsi" w:cstheme="minorHAnsi"/>
          <w:spacing w:val="-2"/>
          <w:sz w:val="21"/>
          <w:lang w:val="es-ES"/>
        </w:rPr>
        <w:t>Si ha sufrido abuso por parte del personal del hospital durante su hospitalización, puede denunciarlo por el siguiente medio. Además, si se percata que otro paciente hospitalizado sufre abusos por parte del personal del hospital, también denúncielo al siguiente contacto.</w:t>
      </w:r>
      <w:bookmarkEnd w:id="2"/>
    </w:p>
    <w:p w14:paraId="5183B315" w14:textId="4BE35A0B" w:rsidR="00C87907" w:rsidRPr="0028404C" w:rsidRDefault="00C87907" w:rsidP="00C87907">
      <w:pPr>
        <w:pStyle w:val="a5"/>
        <w:tabs>
          <w:tab w:val="left" w:pos="521"/>
        </w:tabs>
        <w:spacing w:line="316" w:lineRule="auto"/>
        <w:ind w:right="314"/>
        <w:rPr>
          <w:rFonts w:asciiTheme="minorHAnsi" w:hAnsiTheme="minorHAnsi" w:cstheme="minorHAnsi"/>
          <w:sz w:val="21"/>
          <w:lang w:val="es-ES"/>
        </w:rPr>
      </w:pPr>
      <w:r w:rsidRPr="0028404C">
        <w:rPr>
          <w:rFonts w:asciiTheme="minorHAnsi" w:hAnsiTheme="minorHAnsi" w:cstheme="minorHAnsi"/>
          <w:noProof/>
        </w:rPr>
        <mc:AlternateContent>
          <mc:Choice Requires="wps">
            <w:drawing>
              <wp:anchor distT="0" distB="0" distL="0" distR="0" simplePos="0" relativeHeight="487590400" behindDoc="0" locked="0" layoutInCell="1" allowOverlap="1" wp14:anchorId="747859EA" wp14:editId="39D22480">
                <wp:simplePos x="0" y="0"/>
                <wp:positionH relativeFrom="page">
                  <wp:posOffset>1286540</wp:posOffset>
                </wp:positionH>
                <wp:positionV relativeFrom="paragraph">
                  <wp:posOffset>13261</wp:posOffset>
                </wp:positionV>
                <wp:extent cx="5189515" cy="595223"/>
                <wp:effectExtent l="0" t="0" r="11430" b="14605"/>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9515" cy="595223"/>
                        </a:xfrm>
                        <a:prstGeom prst="rect">
                          <a:avLst/>
                        </a:prstGeom>
                        <a:ln w="6096">
                          <a:solidFill>
                            <a:srgbClr val="000000"/>
                          </a:solidFill>
                          <a:prstDash val="solid"/>
                        </a:ln>
                      </wps:spPr>
                      <wps:txbx>
                        <w:txbxContent>
                          <w:p w14:paraId="00D9C4CF" w14:textId="5901D34C" w:rsidR="00C87907" w:rsidRPr="00BB3422" w:rsidRDefault="00C87907" w:rsidP="00C87907">
                            <w:pPr>
                              <w:pStyle w:val="a3"/>
                              <w:spacing w:before="115"/>
                              <w:ind w:left="141"/>
                              <w:rPr>
                                <w:lang w:val="es-ES"/>
                              </w:rPr>
                            </w:pPr>
                            <w:r w:rsidRPr="0028404C">
                              <w:rPr>
                                <w:rFonts w:asciiTheme="minorHAnsi" w:hAnsiTheme="minorHAnsi" w:cstheme="minorHAnsi"/>
                                <w:spacing w:val="-2"/>
                                <w:sz w:val="20"/>
                                <w:szCs w:val="22"/>
                                <w:lang w:val="es-ES"/>
                              </w:rPr>
                              <w:t>Información de contacto del gobierno local para denunciar abusos (in</w:t>
                            </w:r>
                            <w:r w:rsidRPr="004453A3">
                              <w:rPr>
                                <w:rFonts w:asciiTheme="minorHAnsi" w:hAnsiTheme="minorHAnsi" w:cstheme="minorHAnsi"/>
                                <w:spacing w:val="-2"/>
                                <w:sz w:val="20"/>
                                <w:szCs w:val="22"/>
                                <w:lang w:val="es-ES"/>
                              </w:rPr>
                              <w:t>cluido el número de teléfono)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47859EA" id="_x0000_t202" coordsize="21600,21600" o:spt="202" path="m,l,21600r21600,l21600,xe">
                <v:stroke joinstyle="miter"/>
                <v:path gradientshapeok="t" o:connecttype="rect"/>
              </v:shapetype>
              <v:shape id="Textbox 14" o:spid="_x0000_s1026" type="#_x0000_t202" style="position:absolute;margin-left:101.3pt;margin-top:1.05pt;width:408.6pt;height:46.85pt;z-index:487590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" filled="f" strokeweight=".48pt">
                <v:path arrowok="t"/>
                <v:textbox inset="0,0,0,0">
                  <w:txbxContent>
                    <w:p w14:paraId="00D9C4CF" w14:textId="5901D34C" w:rsidR="00C87907" w:rsidRPr="00BB3422" w:rsidRDefault="00C87907" w:rsidP="00C87907">
                      <w:pPr>
                        <w:pStyle w:val="a3"/>
                        <w:spacing w:before="115"/>
                        <w:ind w:left="141"/>
                        <w:rPr>
                          <w:lang w:val="es-ES"/>
                        </w:rPr>
                      </w:pPr>
                      <w:r w:rsidRPr="0028404C">
                        <w:rPr>
                          <w:rFonts w:asciiTheme="minorHAnsi" w:hAnsiTheme="minorHAnsi" w:cstheme="minorHAnsi"/>
                          <w:spacing w:val="-2"/>
                          <w:sz w:val="20"/>
                          <w:szCs w:val="22"/>
                          <w:lang w:val="es-ES"/>
                        </w:rPr>
                        <w:t>Información de contacto del gobierno local para denunciar abusos (in</w:t>
                      </w:r>
                      <w:r w:rsidRPr="004453A3">
                        <w:rPr>
                          <w:rFonts w:asciiTheme="minorHAnsi" w:hAnsiTheme="minorHAnsi" w:cstheme="minorHAnsi"/>
                          <w:spacing w:val="-2"/>
                          <w:sz w:val="20"/>
                          <w:szCs w:val="22"/>
                          <w:lang w:val="es-ES"/>
                        </w:rPr>
                        <w:t>cluido el número de teléfono)</w:t>
                      </w:r>
                    </w:p>
                  </w:txbxContent>
                </v:textbox>
                <w10:wrap anchorx="page"/>
              </v:shape>
            </w:pict>
          </mc:Fallback>
        </mc:AlternateContent>
      </w:r>
    </w:p>
    <w:p w14:paraId="447A1827" w14:textId="77777777" w:rsidR="00C87907" w:rsidRPr="0028404C" w:rsidRDefault="00C87907" w:rsidP="00C87907">
      <w:pPr>
        <w:pStyle w:val="a3"/>
        <w:ind w:left="0"/>
        <w:rPr>
          <w:rFonts w:asciiTheme="minorHAnsi" w:hAnsiTheme="minorHAnsi" w:cstheme="minorHAnsi"/>
          <w:lang w:val="es-ES"/>
        </w:rPr>
      </w:pPr>
    </w:p>
    <w:p w14:paraId="1AFD5CBF" w14:textId="77777777" w:rsidR="00C87907" w:rsidRPr="0028404C" w:rsidRDefault="00C87907" w:rsidP="00C87907">
      <w:pPr>
        <w:pStyle w:val="a3"/>
        <w:ind w:left="0"/>
        <w:rPr>
          <w:rFonts w:asciiTheme="minorHAnsi" w:hAnsiTheme="minorHAnsi" w:cstheme="minorHAnsi"/>
          <w:lang w:val="es-ES"/>
        </w:rPr>
      </w:pPr>
    </w:p>
    <w:p w14:paraId="04DBD74B" w14:textId="77777777" w:rsidR="00C87907" w:rsidRPr="0028404C" w:rsidRDefault="00C87907" w:rsidP="00C87907">
      <w:pPr>
        <w:pStyle w:val="a3"/>
        <w:ind w:left="0"/>
        <w:rPr>
          <w:rFonts w:asciiTheme="minorHAnsi" w:hAnsiTheme="minorHAnsi" w:cstheme="minorHAnsi"/>
          <w:lang w:val="es-ES"/>
        </w:rPr>
      </w:pPr>
    </w:p>
    <w:p w14:paraId="50BBBA38" w14:textId="77777777" w:rsidR="00C87907" w:rsidRPr="0028404C" w:rsidRDefault="00C87907">
      <w:pPr>
        <w:pStyle w:val="a3"/>
        <w:spacing w:before="81"/>
        <w:rPr>
          <w:rFonts w:asciiTheme="minorHAnsi" w:eastAsia="ＭＳ ゴシック" w:hAnsiTheme="minorHAnsi" w:cstheme="minorHAnsi"/>
          <w:lang w:val="es-ES"/>
        </w:rPr>
      </w:pPr>
    </w:p>
    <w:p w14:paraId="60B72653" w14:textId="46A55BB3" w:rsidR="00755351" w:rsidRPr="0028404C" w:rsidRDefault="00C87907">
      <w:pPr>
        <w:pStyle w:val="a3"/>
        <w:spacing w:before="81"/>
        <w:rPr>
          <w:rFonts w:asciiTheme="minorHAnsi" w:hAnsiTheme="minorHAnsi" w:cstheme="minorHAnsi"/>
          <w:lang w:val="es-ES"/>
        </w:rPr>
      </w:pPr>
      <w:r w:rsidRPr="0028404C">
        <w:rPr>
          <w:rFonts w:asciiTheme="minorHAnsi" w:eastAsia="ＭＳ ゴシック" w:hAnsiTheme="minorHAnsi" w:cstheme="minorHAnsi"/>
          <w:lang w:val="es-ES"/>
        </w:rPr>
        <w:t>Continua en el reverso</w:t>
      </w:r>
    </w:p>
    <w:p w14:paraId="6D46160A" w14:textId="77777777" w:rsidR="00755351" w:rsidRPr="0028404C" w:rsidRDefault="00755351">
      <w:pPr>
        <w:rPr>
          <w:rFonts w:asciiTheme="minorHAnsi" w:hAnsiTheme="minorHAnsi" w:cstheme="minorHAnsi"/>
          <w:lang w:val="es-ES"/>
        </w:rPr>
        <w:sectPr w:rsidR="00755351" w:rsidRPr="0028404C" w:rsidSect="00C87907">
          <w:type w:val="continuous"/>
          <w:pgSz w:w="11910" w:h="16840"/>
          <w:pgMar w:top="993" w:right="1200" w:bottom="280" w:left="1300" w:header="720" w:footer="720" w:gutter="0"/>
          <w:cols w:space="720"/>
        </w:sectPr>
      </w:pPr>
    </w:p>
    <w:p w14:paraId="34C8804F" w14:textId="5E67C82B" w:rsidR="00755351" w:rsidRPr="0028404C" w:rsidRDefault="00C87907">
      <w:pPr>
        <w:pStyle w:val="a3"/>
        <w:spacing w:before="43"/>
        <w:rPr>
          <w:rFonts w:asciiTheme="minorHAnsi" w:hAnsiTheme="minorHAnsi" w:cstheme="minorHAnsi"/>
          <w:lang w:val="es-ES"/>
        </w:rPr>
      </w:pPr>
      <w:r w:rsidRPr="0028404C">
        <w:rPr>
          <w:rFonts w:asciiTheme="minorHAnsi" w:hAnsiTheme="minorHAnsi" w:cstheme="minorHAnsi"/>
          <w:spacing w:val="-3"/>
          <w:lang w:val="es-ES"/>
        </w:rPr>
        <w:lastRenderedPageBreak/>
        <w:t xml:space="preserve"> [En caso de no estar </w:t>
      </w:r>
      <w:r w:rsidRPr="0028404C">
        <w:rPr>
          <w:rFonts w:asciiTheme="minorHAnsi" w:hAnsiTheme="minorHAnsi" w:cstheme="minorHAnsi"/>
          <w:spacing w:val="-2"/>
          <w:lang w:val="es-ES"/>
        </w:rPr>
        <w:t>conforme con su hospitalización o su vida hospitalaria]</w:t>
      </w:r>
    </w:p>
    <w:p w14:paraId="738462F3" w14:textId="1F9AB9C6" w:rsidR="00C87907" w:rsidRPr="0028404C" w:rsidRDefault="00C87907" w:rsidP="009759EE">
      <w:pPr>
        <w:pStyle w:val="a3"/>
        <w:numPr>
          <w:ilvl w:val="0"/>
          <w:numId w:val="2"/>
        </w:numPr>
        <w:spacing w:before="87" w:line="316" w:lineRule="auto"/>
        <w:ind w:left="329" w:right="210" w:hanging="212"/>
        <w:jc w:val="both"/>
        <w:rPr>
          <w:rFonts w:asciiTheme="minorHAnsi" w:hAnsiTheme="minorHAnsi" w:cstheme="minorHAnsi"/>
          <w:lang w:val="es-ES"/>
        </w:rPr>
      </w:pPr>
      <w:bookmarkStart w:id="3" w:name="_Hlk169187991"/>
      <w:r w:rsidRPr="0028404C">
        <w:rPr>
          <w:rFonts w:asciiTheme="minorHAnsi" w:hAnsiTheme="minorHAnsi" w:cstheme="minorHAnsi"/>
          <w:spacing w:val="-2"/>
          <w:lang w:val="es-ES"/>
        </w:rPr>
        <w:t>Si no está conforme con su hospitalización o su vida hospitalaria, usted o su familia pueden reclamar al Gobernador de la prefectura para que dé instrucciones para el alta o mejora del tratamiento hospitalario.  Si desea obtener más información sobre esto, consúltelo con el personal del hospital, o comuníquese al siguiente contacto.</w:t>
      </w:r>
      <w:bookmarkEnd w:id="3"/>
    </w:p>
    <w:p w14:paraId="38D5072E" w14:textId="77777777" w:rsidR="00C87907" w:rsidRPr="0028404C" w:rsidRDefault="00C87907" w:rsidP="009759EE">
      <w:pPr>
        <w:pStyle w:val="a5"/>
        <w:tabs>
          <w:tab w:val="left" w:pos="521"/>
        </w:tabs>
        <w:spacing w:line="316" w:lineRule="auto"/>
        <w:ind w:right="108"/>
        <w:jc w:val="both"/>
        <w:rPr>
          <w:rFonts w:asciiTheme="minorHAnsi" w:hAnsiTheme="minorHAnsi" w:cstheme="minorHAnsi"/>
          <w:sz w:val="21"/>
          <w:lang w:val="es-ES"/>
        </w:rPr>
      </w:pPr>
      <w:r w:rsidRPr="0028404C">
        <w:rPr>
          <w:rFonts w:asciiTheme="minorHAnsi" w:hAnsiTheme="minorHAnsi" w:cstheme="minorHAnsi"/>
          <w:noProof/>
        </w:rPr>
        <mc:AlternateContent>
          <mc:Choice Requires="wps">
            <w:drawing>
              <wp:anchor distT="0" distB="0" distL="0" distR="0" simplePos="0" relativeHeight="487592448" behindDoc="0" locked="0" layoutInCell="1" allowOverlap="1" wp14:anchorId="38391B32" wp14:editId="155BDA02">
                <wp:simplePos x="0" y="0"/>
                <wp:positionH relativeFrom="page">
                  <wp:posOffset>1010093</wp:posOffset>
                </wp:positionH>
                <wp:positionV relativeFrom="paragraph">
                  <wp:posOffset>10677</wp:posOffset>
                </wp:positionV>
                <wp:extent cx="5465962" cy="552893"/>
                <wp:effectExtent l="0" t="0" r="20955" b="1905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5962" cy="552893"/>
                        </a:xfrm>
                        <a:prstGeom prst="rect">
                          <a:avLst/>
                        </a:prstGeom>
                        <a:ln w="6096">
                          <a:solidFill>
                            <a:srgbClr val="000000"/>
                          </a:solidFill>
                          <a:prstDash val="solid"/>
                        </a:ln>
                      </wps:spPr>
                      <wps:txbx>
                        <w:txbxContent>
                          <w:p w14:paraId="1DC52AAC" w14:textId="77777777" w:rsidR="00C87907" w:rsidRPr="007D3434" w:rsidRDefault="00C87907" w:rsidP="00C87907">
                            <w:pPr>
                              <w:pStyle w:val="a3"/>
                              <w:spacing w:before="43"/>
                              <w:ind w:left="103"/>
                              <w:rPr>
                                <w:rFonts w:asciiTheme="minorHAnsi" w:hAnsiTheme="minorHAnsi" w:cstheme="minorHAnsi"/>
                                <w:spacing w:val="-2"/>
                                <w:szCs w:val="22"/>
                                <w:lang w:val="es-ES"/>
                              </w:rPr>
                            </w:pPr>
                            <w:r w:rsidRPr="0028404C">
                              <w:rPr>
                                <w:rFonts w:asciiTheme="minorHAnsi" w:hAnsiTheme="minorHAnsi" w:cstheme="minorHAnsi"/>
                                <w:spacing w:val="-2"/>
                                <w:szCs w:val="22"/>
                                <w:lang w:val="es-ES"/>
                              </w:rPr>
                              <w:t>Información de contacto del gobierno local (inclu</w:t>
                            </w:r>
                            <w:r w:rsidRPr="007D3434">
                              <w:rPr>
                                <w:rFonts w:asciiTheme="minorHAnsi" w:hAnsiTheme="minorHAnsi" w:cstheme="minorHAnsi"/>
                                <w:spacing w:val="-2"/>
                                <w:szCs w:val="22"/>
                                <w:lang w:val="es-ES"/>
                              </w:rPr>
                              <w:t>ido el número de teléfono)</w:t>
                            </w:r>
                          </w:p>
                          <w:p w14:paraId="3002B91D" w14:textId="77777777" w:rsidR="00C87907" w:rsidRPr="00BB3422" w:rsidRDefault="00C87907" w:rsidP="00C87907">
                            <w:pPr>
                              <w:pStyle w:val="a3"/>
                              <w:spacing w:before="43"/>
                              <w:ind w:left="100"/>
                              <w:rPr>
                                <w:lang w:val="es-E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391B32" id="Textbox 13" o:spid="_x0000_s1027" type="#_x0000_t202" style="position:absolute;left:0;text-align:left;margin-left:79.55pt;margin-top:.85pt;width:430.4pt;height:43.55pt;z-index:48759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" filled="f" strokeweight=".48pt">
                <v:path arrowok="t"/>
                <v:textbox inset="0,0,0,0">
                  <w:txbxContent>
                    <w:p w14:paraId="1DC52AAC" w14:textId="77777777" w:rsidR="00C87907" w:rsidRPr="007D3434" w:rsidRDefault="00C87907" w:rsidP="00C87907">
                      <w:pPr>
                        <w:pStyle w:val="a3"/>
                        <w:spacing w:before="43"/>
                        <w:ind w:left="103"/>
                        <w:rPr>
                          <w:rFonts w:asciiTheme="minorHAnsi" w:hAnsiTheme="minorHAnsi" w:cstheme="minorHAnsi"/>
                          <w:spacing w:val="-2"/>
                          <w:szCs w:val="22"/>
                          <w:lang w:val="es-ES"/>
                        </w:rPr>
                      </w:pPr>
                      <w:r w:rsidRPr="0028404C">
                        <w:rPr>
                          <w:rFonts w:asciiTheme="minorHAnsi" w:hAnsiTheme="minorHAnsi" w:cstheme="minorHAnsi"/>
                          <w:spacing w:val="-2"/>
                          <w:szCs w:val="22"/>
                          <w:lang w:val="es-ES"/>
                        </w:rPr>
                        <w:t>Información de contacto del gobierno local (inclu</w:t>
                      </w:r>
                      <w:r w:rsidRPr="007D3434">
                        <w:rPr>
                          <w:rFonts w:asciiTheme="minorHAnsi" w:hAnsiTheme="minorHAnsi" w:cstheme="minorHAnsi"/>
                          <w:spacing w:val="-2"/>
                          <w:szCs w:val="22"/>
                          <w:lang w:val="es-ES"/>
                        </w:rPr>
                        <w:t>ido el número de teléfono)</w:t>
                      </w:r>
                    </w:p>
                    <w:p w14:paraId="3002B91D" w14:textId="77777777" w:rsidR="00C87907" w:rsidRPr="00BB3422" w:rsidRDefault="00C87907" w:rsidP="00C87907">
                      <w:pPr>
                        <w:pStyle w:val="a3"/>
                        <w:spacing w:before="43"/>
                        <w:ind w:left="100"/>
                        <w:rPr>
                          <w:lang w:val="es-ES"/>
                        </w:rPr>
                      </w:pPr>
                    </w:p>
                  </w:txbxContent>
                </v:textbox>
                <w10:wrap anchorx="page"/>
              </v:shape>
            </w:pict>
          </mc:Fallback>
        </mc:AlternateContent>
      </w:r>
    </w:p>
    <w:p w14:paraId="5F812FC6" w14:textId="77777777" w:rsidR="00C87907" w:rsidRPr="0028404C" w:rsidRDefault="00C87907" w:rsidP="009759EE">
      <w:pPr>
        <w:pStyle w:val="a3"/>
        <w:ind w:left="0"/>
        <w:jc w:val="both"/>
        <w:rPr>
          <w:rFonts w:asciiTheme="minorHAnsi" w:hAnsiTheme="minorHAnsi" w:cstheme="minorHAnsi"/>
          <w:lang w:val="es-ES"/>
        </w:rPr>
      </w:pPr>
    </w:p>
    <w:p w14:paraId="7A12A461" w14:textId="77777777" w:rsidR="00C87907" w:rsidRPr="0028404C" w:rsidRDefault="00C87907" w:rsidP="009759EE">
      <w:pPr>
        <w:pStyle w:val="a3"/>
        <w:ind w:left="0"/>
        <w:jc w:val="both"/>
        <w:rPr>
          <w:rFonts w:asciiTheme="minorHAnsi" w:hAnsiTheme="minorHAnsi" w:cstheme="minorHAnsi"/>
          <w:lang w:val="es-ES"/>
        </w:rPr>
      </w:pPr>
    </w:p>
    <w:p w14:paraId="13E3FE4B" w14:textId="77777777" w:rsidR="00755351" w:rsidRPr="0028404C" w:rsidRDefault="00755351" w:rsidP="009759EE">
      <w:pPr>
        <w:pStyle w:val="a3"/>
        <w:spacing w:before="271"/>
        <w:ind w:left="0"/>
        <w:jc w:val="both"/>
        <w:rPr>
          <w:rFonts w:asciiTheme="minorHAnsi" w:hAnsiTheme="minorHAnsi" w:cstheme="minorHAnsi"/>
          <w:lang w:val="es-ES"/>
        </w:rPr>
      </w:pPr>
    </w:p>
    <w:p w14:paraId="623093CF" w14:textId="77777777" w:rsidR="009542CC" w:rsidRPr="0028404C" w:rsidRDefault="009759EE" w:rsidP="009542CC">
      <w:pPr>
        <w:pStyle w:val="a3"/>
        <w:numPr>
          <w:ilvl w:val="0"/>
          <w:numId w:val="2"/>
        </w:numPr>
        <w:spacing w:line="316" w:lineRule="auto"/>
        <w:ind w:right="210"/>
        <w:jc w:val="both"/>
        <w:rPr>
          <w:rFonts w:asciiTheme="minorHAnsi" w:hAnsiTheme="minorHAnsi" w:cstheme="minorHAnsi"/>
          <w:lang w:val="es-ES"/>
        </w:rPr>
      </w:pPr>
      <w:r w:rsidRPr="0028404C">
        <w:rPr>
          <w:rFonts w:asciiTheme="minorHAnsi" w:hAnsiTheme="minorHAnsi" w:cstheme="minorHAnsi"/>
          <w:spacing w:val="-2"/>
          <w:lang w:val="es-ES"/>
        </w:rPr>
        <w:t>Si no está conforme con esta disposición administrativa, usted puede</w:t>
      </w:r>
      <w:r w:rsidR="009542CC" w:rsidRPr="0028404C">
        <w:rPr>
          <w:rFonts w:asciiTheme="minorHAnsi" w:hAnsiTheme="minorHAnsi" w:cstheme="minorHAnsi"/>
          <w:spacing w:val="-2"/>
          <w:lang w:val="es-ES"/>
        </w:rPr>
        <w:t xml:space="preserve"> interponer el recurso de revisión</w:t>
      </w:r>
      <w:r w:rsidRPr="0028404C">
        <w:rPr>
          <w:rFonts w:asciiTheme="minorHAnsi" w:hAnsiTheme="minorHAnsi" w:cstheme="minorHAnsi"/>
          <w:spacing w:val="-2"/>
          <w:lang w:val="es-ES"/>
        </w:rPr>
        <w:t xml:space="preserve"> ante el Ministro de Salud, Trabajo y Bienestar de Japón dentro de los tres meses siguientes al día en que tuvo conocimiento de esta disposición (incluso si es dentro de los tres meses a partir del día en que tuvo conocimiento de esta disposición, ya no podrá </w:t>
      </w:r>
      <w:r w:rsidR="009542CC" w:rsidRPr="0028404C">
        <w:rPr>
          <w:rFonts w:asciiTheme="minorHAnsi" w:hAnsiTheme="minorHAnsi" w:cstheme="minorHAnsi"/>
          <w:spacing w:val="-2"/>
          <w:lang w:val="es-ES"/>
        </w:rPr>
        <w:t>interponer el recurso de</w:t>
      </w:r>
      <w:r w:rsidRPr="0028404C">
        <w:rPr>
          <w:rFonts w:asciiTheme="minorHAnsi" w:hAnsiTheme="minorHAnsi" w:cstheme="minorHAnsi"/>
          <w:spacing w:val="-2"/>
          <w:lang w:val="es-ES"/>
        </w:rPr>
        <w:t xml:space="preserve"> revisión si ha transcurrido un año desde el día siguiente al de esta disposición).</w:t>
      </w:r>
    </w:p>
    <w:p w14:paraId="22FB8EAE" w14:textId="77777777" w:rsidR="009542CC" w:rsidRPr="0028404C" w:rsidRDefault="009542CC" w:rsidP="009542CC">
      <w:pPr>
        <w:pStyle w:val="a3"/>
        <w:spacing w:line="316" w:lineRule="auto"/>
        <w:ind w:left="477" w:right="210"/>
        <w:jc w:val="both"/>
        <w:rPr>
          <w:rFonts w:asciiTheme="minorHAnsi" w:hAnsiTheme="minorHAnsi" w:cstheme="minorHAnsi"/>
          <w:lang w:val="es-ES"/>
        </w:rPr>
      </w:pPr>
    </w:p>
    <w:p w14:paraId="2C6CE596" w14:textId="57186F13" w:rsidR="009759EE" w:rsidRPr="0028404C" w:rsidRDefault="0018074B" w:rsidP="009542CC">
      <w:pPr>
        <w:pStyle w:val="a3"/>
        <w:numPr>
          <w:ilvl w:val="0"/>
          <w:numId w:val="2"/>
        </w:numPr>
        <w:spacing w:line="316" w:lineRule="auto"/>
        <w:ind w:right="210"/>
        <w:jc w:val="both"/>
        <w:rPr>
          <w:rFonts w:asciiTheme="minorHAnsi" w:hAnsiTheme="minorHAnsi" w:cstheme="minorHAnsi"/>
          <w:lang w:val="es-ES"/>
        </w:rPr>
      </w:pPr>
      <w:r w:rsidRPr="0028404C">
        <w:rPr>
          <w:rFonts w:asciiTheme="minorHAnsi" w:hAnsiTheme="minorHAnsi" w:cstheme="minorHAnsi"/>
          <w:lang w:val="es-ES"/>
        </w:rPr>
        <w:t>La</w:t>
      </w:r>
      <w:r w:rsidR="009759EE" w:rsidRPr="0028404C">
        <w:rPr>
          <w:rFonts w:asciiTheme="minorHAnsi" w:hAnsiTheme="minorHAnsi" w:cstheme="minorHAnsi"/>
          <w:lang w:val="es-ES"/>
        </w:rPr>
        <w:t xml:space="preserve"> demanda </w:t>
      </w:r>
      <w:r w:rsidRPr="0028404C">
        <w:rPr>
          <w:rFonts w:asciiTheme="minorHAnsi" w:hAnsiTheme="minorHAnsi" w:cstheme="minorHAnsi"/>
          <w:lang w:val="es-ES"/>
        </w:rPr>
        <w:t xml:space="preserve">para la </w:t>
      </w:r>
      <w:r w:rsidR="009759EE" w:rsidRPr="0028404C">
        <w:rPr>
          <w:rFonts w:asciiTheme="minorHAnsi" w:hAnsiTheme="minorHAnsi" w:cstheme="minorHAnsi"/>
          <w:lang w:val="es-ES"/>
        </w:rPr>
        <w:t>revocación de esta disposición</w:t>
      </w:r>
      <w:r w:rsidRPr="0028404C">
        <w:rPr>
          <w:rFonts w:asciiTheme="minorHAnsi" w:hAnsiTheme="minorHAnsi" w:cstheme="minorHAnsi"/>
          <w:lang w:val="es-ES"/>
        </w:rPr>
        <w:t xml:space="preserve"> administrativa</w:t>
      </w:r>
      <w:r w:rsidR="009759EE" w:rsidRPr="0028404C">
        <w:rPr>
          <w:rFonts w:asciiTheme="minorHAnsi" w:hAnsiTheme="minorHAnsi" w:cstheme="minorHAnsi"/>
          <w:lang w:val="es-ES"/>
        </w:rPr>
        <w:t xml:space="preserve"> </w:t>
      </w:r>
      <w:r w:rsidRPr="0028404C">
        <w:rPr>
          <w:rFonts w:asciiTheme="minorHAnsi" w:hAnsiTheme="minorHAnsi" w:cstheme="minorHAnsi"/>
          <w:lang w:val="es-ES"/>
        </w:rPr>
        <w:t xml:space="preserve">puede </w:t>
      </w:r>
      <w:r w:rsidR="009759EE" w:rsidRPr="0028404C">
        <w:rPr>
          <w:rFonts w:asciiTheme="minorHAnsi" w:hAnsiTheme="minorHAnsi" w:cstheme="minorHAnsi"/>
          <w:lang w:val="es-ES"/>
        </w:rPr>
        <w:t xml:space="preserve">presentarse dentro de los seis meses a partir del día siguiente de recibir la notificación de esta disposición, </w:t>
      </w:r>
      <w:r w:rsidRPr="0028404C">
        <w:rPr>
          <w:rFonts w:asciiTheme="minorHAnsi" w:hAnsiTheme="minorHAnsi" w:cstheme="minorHAnsi"/>
          <w:lang w:val="es-ES"/>
        </w:rPr>
        <w:t>siendo</w:t>
      </w:r>
      <w:r w:rsidR="009759EE" w:rsidRPr="0028404C">
        <w:rPr>
          <w:rFonts w:asciiTheme="minorHAnsi" w:hAnsiTheme="minorHAnsi" w:cstheme="minorHAnsi"/>
          <w:lang w:val="es-ES"/>
        </w:rPr>
        <w:t xml:space="preserve"> </w:t>
      </w:r>
      <w:r w:rsidRPr="0028404C">
        <w:rPr>
          <w:rFonts w:asciiTheme="minorHAnsi" w:hAnsiTheme="minorHAnsi" w:cstheme="minorHAnsi"/>
          <w:lang w:val="es-ES"/>
        </w:rPr>
        <w:t>el Gobierno de la prefectura la parte</w:t>
      </w:r>
      <w:r w:rsidR="009759EE" w:rsidRPr="0028404C">
        <w:rPr>
          <w:rFonts w:asciiTheme="minorHAnsi" w:hAnsiTheme="minorHAnsi" w:cstheme="minorHAnsi"/>
          <w:lang w:val="es-ES"/>
        </w:rPr>
        <w:t xml:space="preserve"> demandada (la persona que representa </w:t>
      </w:r>
      <w:r w:rsidRPr="0028404C">
        <w:rPr>
          <w:rFonts w:asciiTheme="minorHAnsi" w:hAnsiTheme="minorHAnsi" w:cstheme="minorHAnsi"/>
          <w:lang w:val="es-ES"/>
        </w:rPr>
        <w:t>al Gobierno de la</w:t>
      </w:r>
      <w:r w:rsidR="009759EE" w:rsidRPr="0028404C">
        <w:rPr>
          <w:rFonts w:asciiTheme="minorHAnsi" w:hAnsiTheme="minorHAnsi" w:cstheme="minorHAnsi"/>
          <w:lang w:val="es-ES"/>
        </w:rPr>
        <w:t xml:space="preserve"> prefectura en la demanda es el </w:t>
      </w:r>
      <w:r w:rsidRPr="0028404C">
        <w:rPr>
          <w:rFonts w:asciiTheme="minorHAnsi" w:hAnsiTheme="minorHAnsi" w:cstheme="minorHAnsi"/>
          <w:lang w:val="es-ES"/>
        </w:rPr>
        <w:t>G</w:t>
      </w:r>
      <w:r w:rsidR="009759EE" w:rsidRPr="0028404C">
        <w:rPr>
          <w:rFonts w:asciiTheme="minorHAnsi" w:hAnsiTheme="minorHAnsi" w:cstheme="minorHAnsi"/>
          <w:lang w:val="es-ES"/>
        </w:rPr>
        <w:t>obernador de la prefectura)</w:t>
      </w:r>
      <w:r w:rsidRPr="0028404C">
        <w:rPr>
          <w:rFonts w:asciiTheme="minorHAnsi" w:hAnsiTheme="minorHAnsi" w:cstheme="minorHAnsi"/>
          <w:lang w:val="es-ES"/>
        </w:rPr>
        <w:t xml:space="preserve"> (Incluso si es dentro de los 6 meses a partir del día siguiente de recibir la notificación de esta disposición, ya no será posible interponer </w:t>
      </w:r>
      <w:r w:rsidR="00B815A3" w:rsidRPr="0028404C">
        <w:rPr>
          <w:rFonts w:asciiTheme="minorHAnsi" w:hAnsiTheme="minorHAnsi" w:cstheme="minorHAnsi"/>
          <w:lang w:val="es-ES"/>
        </w:rPr>
        <w:t xml:space="preserve">la demanda </w:t>
      </w:r>
      <w:r w:rsidRPr="0028404C">
        <w:rPr>
          <w:rFonts w:asciiTheme="minorHAnsi" w:hAnsiTheme="minorHAnsi" w:cstheme="minorHAnsi"/>
          <w:lang w:val="es-ES"/>
        </w:rPr>
        <w:t>para la revocación de esta disposición</w:t>
      </w:r>
      <w:r w:rsidR="00B815A3" w:rsidRPr="0028404C">
        <w:rPr>
          <w:rFonts w:asciiTheme="minorHAnsi" w:hAnsiTheme="minorHAnsi" w:cstheme="minorHAnsi"/>
          <w:lang w:val="es-ES"/>
        </w:rPr>
        <w:t xml:space="preserve"> administrativa</w:t>
      </w:r>
      <w:r w:rsidRPr="0028404C">
        <w:rPr>
          <w:rFonts w:asciiTheme="minorHAnsi" w:hAnsiTheme="minorHAnsi" w:cstheme="minorHAnsi"/>
          <w:lang w:val="es-ES"/>
        </w:rPr>
        <w:t xml:space="preserve"> si ha transcurrido un año desde el día siguiente a la fecha de esta disposición). Además, si </w:t>
      </w:r>
      <w:r w:rsidR="009542CC" w:rsidRPr="0028404C">
        <w:rPr>
          <w:rFonts w:asciiTheme="minorHAnsi" w:hAnsiTheme="minorHAnsi" w:cstheme="minorHAnsi" w:hint="eastAsia"/>
          <w:lang w:val="es-ES"/>
        </w:rPr>
        <w:t>i</w:t>
      </w:r>
      <w:r w:rsidR="009542CC" w:rsidRPr="0028404C">
        <w:rPr>
          <w:rFonts w:asciiTheme="minorHAnsi" w:hAnsiTheme="minorHAnsi" w:cstheme="minorHAnsi"/>
          <w:lang w:val="es-ES"/>
        </w:rPr>
        <w:t>nterpone un recurso de</w:t>
      </w:r>
      <w:r w:rsidRPr="0028404C">
        <w:rPr>
          <w:rFonts w:asciiTheme="minorHAnsi" w:hAnsiTheme="minorHAnsi" w:cstheme="minorHAnsi"/>
          <w:lang w:val="es-ES"/>
        </w:rPr>
        <w:t xml:space="preserve"> revisión dentro de los tres meses siguientes al día siguiente de recibir la notificación de esta disposición, la demanda para la revocación de esta disposición podrá </w:t>
      </w:r>
      <w:r w:rsidR="009542CC" w:rsidRPr="0028404C">
        <w:rPr>
          <w:rFonts w:asciiTheme="minorHAnsi" w:hAnsiTheme="minorHAnsi" w:cstheme="minorHAnsi"/>
          <w:lang w:val="es-ES"/>
        </w:rPr>
        <w:t>presentars</w:t>
      </w:r>
      <w:r w:rsidRPr="0028404C">
        <w:rPr>
          <w:rFonts w:asciiTheme="minorHAnsi" w:hAnsiTheme="minorHAnsi" w:cstheme="minorHAnsi"/>
          <w:lang w:val="es-ES"/>
        </w:rPr>
        <w:t xml:space="preserve">e dentro de los seis meses contados a partir del día siguiente de recibida la </w:t>
      </w:r>
      <w:r w:rsidR="00B815A3" w:rsidRPr="0028404C">
        <w:rPr>
          <w:rFonts w:asciiTheme="minorHAnsi" w:hAnsiTheme="minorHAnsi" w:cstheme="minorHAnsi"/>
          <w:lang w:val="es-ES"/>
        </w:rPr>
        <w:t xml:space="preserve">resolución del recurso administrativo de </w:t>
      </w:r>
      <w:r w:rsidRPr="0028404C">
        <w:rPr>
          <w:rFonts w:asciiTheme="minorHAnsi" w:hAnsiTheme="minorHAnsi" w:cstheme="minorHAnsi"/>
          <w:lang w:val="es-ES"/>
        </w:rPr>
        <w:t>revisión</w:t>
      </w:r>
      <w:r w:rsidR="00B815A3" w:rsidRPr="0028404C">
        <w:rPr>
          <w:rFonts w:asciiTheme="minorHAnsi" w:hAnsiTheme="minorHAnsi" w:cstheme="minorHAnsi"/>
          <w:lang w:val="es-ES"/>
        </w:rPr>
        <w:t xml:space="preserve"> (Incluso si es dentro de los seis meses a partir del día siguiente de recibir la notificación de esta disposición, ya no será posible interponer la demanda para la revocación de esta disposición administrativa si ha transcurrido un año desde el día siguiente a la fecha de esta disposición)</w:t>
      </w:r>
      <w:r w:rsidRPr="0028404C">
        <w:rPr>
          <w:rFonts w:asciiTheme="minorHAnsi" w:hAnsiTheme="minorHAnsi" w:cstheme="minorHAnsi"/>
          <w:lang w:val="es-ES"/>
        </w:rPr>
        <w:t>.</w:t>
      </w:r>
    </w:p>
    <w:sectPr w:rsidR="009759EE" w:rsidRPr="0028404C">
      <w:pgSz w:w="11910" w:h="16840"/>
      <w:pgMar w:top="1400" w:right="12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48F2B" w14:textId="77777777" w:rsidR="00E2385E" w:rsidRDefault="00E2385E" w:rsidP="000B6F62">
      <w:r>
        <w:separator/>
      </w:r>
    </w:p>
  </w:endnote>
  <w:endnote w:type="continuationSeparator" w:id="0">
    <w:p w14:paraId="7FCA320C" w14:textId="77777777" w:rsidR="00E2385E" w:rsidRDefault="00E2385E" w:rsidP="000B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CCD4F" w14:textId="77777777" w:rsidR="00E2385E" w:rsidRDefault="00E2385E" w:rsidP="000B6F62">
      <w:r>
        <w:separator/>
      </w:r>
    </w:p>
  </w:footnote>
  <w:footnote w:type="continuationSeparator" w:id="0">
    <w:p w14:paraId="744CC0FF" w14:textId="77777777" w:rsidR="00E2385E" w:rsidRDefault="00E2385E" w:rsidP="000B6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92DAD"/>
    <w:multiLevelType w:val="hybridMultilevel"/>
    <w:tmpl w:val="80408D3C"/>
    <w:lvl w:ilvl="0" w:tplc="8F5EA04E">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41004D2B"/>
    <w:multiLevelType w:val="hybridMultilevel"/>
    <w:tmpl w:val="362CA50C"/>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11AEA91E">
      <w:numFmt w:val="bullet"/>
      <w:lvlText w:val="•"/>
      <w:lvlJc w:val="left"/>
      <w:pPr>
        <w:ind w:left="1350" w:hanging="420"/>
      </w:pPr>
      <w:rPr>
        <w:rFonts w:hint="default"/>
        <w:lang w:val="en-US" w:eastAsia="ja-JP" w:bidi="ar-SA"/>
      </w:rPr>
    </w:lvl>
    <w:lvl w:ilvl="2" w:tplc="8FD0B98A">
      <w:numFmt w:val="bullet"/>
      <w:lvlText w:val="•"/>
      <w:lvlJc w:val="left"/>
      <w:pPr>
        <w:ind w:left="2181" w:hanging="420"/>
      </w:pPr>
      <w:rPr>
        <w:rFonts w:hint="default"/>
        <w:lang w:val="en-US" w:eastAsia="ja-JP" w:bidi="ar-SA"/>
      </w:rPr>
    </w:lvl>
    <w:lvl w:ilvl="3" w:tplc="892CF64A">
      <w:numFmt w:val="bullet"/>
      <w:lvlText w:val="•"/>
      <w:lvlJc w:val="left"/>
      <w:pPr>
        <w:ind w:left="3011" w:hanging="420"/>
      </w:pPr>
      <w:rPr>
        <w:rFonts w:hint="default"/>
        <w:lang w:val="en-US" w:eastAsia="ja-JP" w:bidi="ar-SA"/>
      </w:rPr>
    </w:lvl>
    <w:lvl w:ilvl="4" w:tplc="06AEB968">
      <w:numFmt w:val="bullet"/>
      <w:lvlText w:val="•"/>
      <w:lvlJc w:val="left"/>
      <w:pPr>
        <w:ind w:left="3842" w:hanging="420"/>
      </w:pPr>
      <w:rPr>
        <w:rFonts w:hint="default"/>
        <w:lang w:val="en-US" w:eastAsia="ja-JP" w:bidi="ar-SA"/>
      </w:rPr>
    </w:lvl>
    <w:lvl w:ilvl="5" w:tplc="3A008DB8">
      <w:numFmt w:val="bullet"/>
      <w:lvlText w:val="•"/>
      <w:lvlJc w:val="left"/>
      <w:pPr>
        <w:ind w:left="4672" w:hanging="420"/>
      </w:pPr>
      <w:rPr>
        <w:rFonts w:hint="default"/>
        <w:lang w:val="en-US" w:eastAsia="ja-JP" w:bidi="ar-SA"/>
      </w:rPr>
    </w:lvl>
    <w:lvl w:ilvl="6" w:tplc="6EE00F6C">
      <w:numFmt w:val="bullet"/>
      <w:lvlText w:val="•"/>
      <w:lvlJc w:val="left"/>
      <w:pPr>
        <w:ind w:left="5503" w:hanging="420"/>
      </w:pPr>
      <w:rPr>
        <w:rFonts w:hint="default"/>
        <w:lang w:val="en-US" w:eastAsia="ja-JP" w:bidi="ar-SA"/>
      </w:rPr>
    </w:lvl>
    <w:lvl w:ilvl="7" w:tplc="DF5EC188">
      <w:numFmt w:val="bullet"/>
      <w:lvlText w:val="•"/>
      <w:lvlJc w:val="left"/>
      <w:pPr>
        <w:ind w:left="6333" w:hanging="420"/>
      </w:pPr>
      <w:rPr>
        <w:rFonts w:hint="default"/>
        <w:lang w:val="en-US" w:eastAsia="ja-JP" w:bidi="ar-SA"/>
      </w:rPr>
    </w:lvl>
    <w:lvl w:ilvl="8" w:tplc="16087EC6">
      <w:numFmt w:val="bullet"/>
      <w:lvlText w:val="•"/>
      <w:lvlJc w:val="left"/>
      <w:pPr>
        <w:ind w:left="7164" w:hanging="420"/>
      </w:pPr>
      <w:rPr>
        <w:rFonts w:hint="default"/>
        <w:lang w:val="en-US" w:eastAsia="ja-JP" w:bidi="ar-SA"/>
      </w:rPr>
    </w:lvl>
  </w:abstractNum>
  <w:num w:numId="1" w16cid:durableId="762334987">
    <w:abstractNumId w:val="1"/>
  </w:num>
  <w:num w:numId="2" w16cid:durableId="184478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51"/>
    <w:rsid w:val="000B6F62"/>
    <w:rsid w:val="0018074B"/>
    <w:rsid w:val="0028404C"/>
    <w:rsid w:val="006316D3"/>
    <w:rsid w:val="006C612F"/>
    <w:rsid w:val="00755351"/>
    <w:rsid w:val="007E3467"/>
    <w:rsid w:val="009542CC"/>
    <w:rsid w:val="009759EE"/>
    <w:rsid w:val="00B815A3"/>
    <w:rsid w:val="00C87907"/>
    <w:rsid w:val="00DE7456"/>
    <w:rsid w:val="00E2385E"/>
    <w:rsid w:val="00E9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8B764B"/>
  <w15:docId w15:val="{30B95507-C29B-4BD3-BA98-9CDF2327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1"/>
      <w:szCs w:val="21"/>
    </w:rPr>
  </w:style>
  <w:style w:type="paragraph" w:styleId="a4">
    <w:name w:val="Title"/>
    <w:basedOn w:val="a"/>
    <w:uiPriority w:val="10"/>
    <w:qFormat/>
    <w:pPr>
      <w:spacing w:before="79"/>
      <w:ind w:right="99"/>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B6F62"/>
    <w:pPr>
      <w:tabs>
        <w:tab w:val="center" w:pos="4252"/>
        <w:tab w:val="right" w:pos="8504"/>
      </w:tabs>
      <w:snapToGrid w:val="0"/>
    </w:pPr>
  </w:style>
  <w:style w:type="character" w:customStyle="1" w:styleId="a7">
    <w:name w:val="ヘッダー (文字)"/>
    <w:basedOn w:val="a0"/>
    <w:link w:val="a6"/>
    <w:uiPriority w:val="99"/>
    <w:rsid w:val="000B6F62"/>
    <w:rPr>
      <w:rFonts w:ascii="ＭＳ 明朝" w:eastAsia="ＭＳ 明朝" w:hAnsi="ＭＳ 明朝" w:cs="ＭＳ 明朝"/>
      <w:lang w:eastAsia="ja-JP"/>
    </w:rPr>
  </w:style>
  <w:style w:type="paragraph" w:styleId="a8">
    <w:name w:val="footer"/>
    <w:basedOn w:val="a"/>
    <w:link w:val="a9"/>
    <w:uiPriority w:val="99"/>
    <w:unhideWhenUsed/>
    <w:rsid w:val="000B6F62"/>
    <w:pPr>
      <w:tabs>
        <w:tab w:val="center" w:pos="4252"/>
        <w:tab w:val="right" w:pos="8504"/>
      </w:tabs>
      <w:snapToGrid w:val="0"/>
    </w:pPr>
  </w:style>
  <w:style w:type="character" w:customStyle="1" w:styleId="a9">
    <w:name w:val="フッター (文字)"/>
    <w:basedOn w:val="a0"/>
    <w:link w:val="a8"/>
    <w:uiPriority w:val="99"/>
    <w:rsid w:val="000B6F6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784</Words>
  <Characters>4472</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2024-04-25T04:54:00Z</dcterms:created>
  <dcterms:modified xsi:type="dcterms:W3CDTF">2024-06-17T06:23:00Z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