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064BF156" w:rsidR="00EA2609" w:rsidRPr="00764C96" w:rsidRDefault="00580134" w:rsidP="00EA2609">
      <w:pPr>
        <w:pStyle w:val="a3"/>
        <w:numPr>
          <w:ilvl w:val="0"/>
          <w:numId w:val="12"/>
        </w:numPr>
        <w:ind w:leftChars="0"/>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1C39231F">
                <wp:simplePos x="0" y="0"/>
                <wp:positionH relativeFrom="column">
                  <wp:posOffset>72390</wp:posOffset>
                </wp:positionH>
                <wp:positionV relativeFrom="paragraph">
                  <wp:posOffset>266700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5.7pt;margin-top:21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" fillcolor="white [3201]" stroked="f" strokeweight=".5pt">
                <v:textbo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r w:rsidR="00194DE4"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0A1573" w14:paraId="14926FE4" w14:textId="77777777" w:rsidTr="00764C96">
        <w:trPr>
          <w:trHeight w:val="848"/>
        </w:trPr>
        <w:tc>
          <w:tcPr>
            <w:tcW w:w="8073" w:type="dxa"/>
          </w:tcPr>
          <w:p w14:paraId="6987AA05" w14:textId="77777777" w:rsidR="0079167F" w:rsidRPr="00764C96" w:rsidRDefault="0079167F" w:rsidP="0079167F">
            <w:pPr>
              <w:widowControl/>
              <w:jc w:val="left"/>
              <w:rPr>
                <w:rFonts w:ascii="ＭＳ 明朝" w:eastAsia="ＭＳ 明朝" w:hAnsi="ＭＳ 明朝"/>
              </w:rPr>
            </w:pPr>
            <w:r w:rsidRPr="00764C96">
              <w:rPr>
                <w:rFonts w:ascii="ＭＳ 明朝" w:eastAsia="ＭＳ 明朝" w:hAnsi="ＭＳ 明朝" w:hint="eastAsia"/>
              </w:rPr>
              <w:t>自治体の連絡先（電話番号を含む。）</w:t>
            </w:r>
          </w:p>
        </w:tc>
      </w:tr>
    </w:tbl>
    <w:p w14:paraId="5031B8F0" w14:textId="7327B8FB" w:rsidR="0079167F" w:rsidRPr="00764C96" w:rsidRDefault="00644B10" w:rsidP="0079167F">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3BCFD8CF">
                <wp:simplePos x="0" y="0"/>
                <wp:positionH relativeFrom="margin">
                  <wp:posOffset>256540</wp:posOffset>
                </wp:positionH>
                <wp:positionV relativeFrom="paragraph">
                  <wp:posOffset>1362075</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20.2pt;margin-top:107.25pt;width:403.5pt;height: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" strokeweight=".5pt">
                <v:textbo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BBC35EA" w14:textId="77777777" w:rsidR="002667B0" w:rsidRPr="00764C96" w:rsidRDefault="002667B0" w:rsidP="00764C96">
      <w:pPr>
        <w:widowControl/>
        <w:jc w:val="left"/>
        <w:rPr>
          <w:rFonts w:ascii="ＭＳ 明朝" w:eastAsia="ＭＳ 明朝" w:hAnsi="ＭＳ 明朝"/>
        </w:rPr>
      </w:pPr>
    </w:p>
    <w:p w14:paraId="2522E49C" w14:textId="471F2020" w:rsidR="00194DE4" w:rsidRPr="00764C96" w:rsidRDefault="00194DE4" w:rsidP="002667B0">
      <w:pPr>
        <w:widowControl/>
        <w:ind w:leftChars="1620" w:left="3402"/>
        <w:rPr>
          <w:rFonts w:ascii="ＭＳ 明朝" w:eastAsia="ＭＳ 明朝" w:hAnsi="ＭＳ 明朝"/>
        </w:rPr>
      </w:pPr>
      <w:r w:rsidRPr="00764C96">
        <w:rPr>
          <w:rFonts w:ascii="ＭＳ 明朝" w:eastAsia="ＭＳ 明朝" w:hAnsi="ＭＳ 明朝" w:hint="eastAsia"/>
          <w:spacing w:val="420"/>
          <w:kern w:val="0"/>
          <w:fitText w:val="2310" w:id="-1307350784"/>
        </w:rPr>
        <w:t>病</w:t>
      </w:r>
      <w:r w:rsidRPr="00764C96">
        <w:rPr>
          <w:rFonts w:ascii="ＭＳ 明朝" w:eastAsia="ＭＳ 明朝" w:hAnsi="ＭＳ 明朝"/>
          <w:spacing w:val="420"/>
          <w:kern w:val="0"/>
          <w:fitText w:val="2310" w:id="-1307350784"/>
        </w:rPr>
        <w:t>院</w:t>
      </w:r>
      <w:r w:rsidRPr="00764C96">
        <w:rPr>
          <w:rFonts w:ascii="ＭＳ 明朝" w:eastAsia="ＭＳ 明朝" w:hAnsi="ＭＳ 明朝"/>
          <w:kern w:val="0"/>
          <w:fitText w:val="2310" w:id="-1307350784"/>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A05245">
      <w:pPr>
        <w:widowControl/>
        <w:ind w:leftChars="1620" w:left="3402"/>
        <w:jc w:val="left"/>
        <w:rPr>
          <w:rFonts w:ascii="ＭＳ 明朝" w:eastAsia="ＭＳ 明朝" w:hAnsi="ＭＳ 明朝"/>
        </w:rPr>
      </w:pPr>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764C96">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7"/>
  </w:num>
  <w:num w:numId="2" w16cid:durableId="1273974520">
    <w:abstractNumId w:val="5"/>
  </w:num>
  <w:num w:numId="3" w16cid:durableId="617879776">
    <w:abstractNumId w:val="10"/>
  </w:num>
  <w:num w:numId="4" w16cid:durableId="716465037">
    <w:abstractNumId w:val="1"/>
  </w:num>
  <w:num w:numId="5" w16cid:durableId="1992556655">
    <w:abstractNumId w:val="3"/>
  </w:num>
  <w:num w:numId="6" w16cid:durableId="1115444994">
    <w:abstractNumId w:val="9"/>
  </w:num>
  <w:num w:numId="7" w16cid:durableId="1948342940">
    <w:abstractNumId w:val="6"/>
  </w:num>
  <w:num w:numId="8" w16cid:durableId="1209490768">
    <w:abstractNumId w:val="8"/>
  </w:num>
  <w:num w:numId="9" w16cid:durableId="1238781418">
    <w:abstractNumId w:val="2"/>
  </w:num>
  <w:num w:numId="10" w16cid:durableId="110512441">
    <w:abstractNumId w:val="4"/>
  </w:num>
  <w:num w:numId="11" w16cid:durableId="508259286">
    <w:abstractNumId w:val="11"/>
  </w:num>
  <w:num w:numId="12" w16cid:durableId="8850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A1D5E"/>
    <w:rsid w:val="005C5CBC"/>
    <w:rsid w:val="00605BAC"/>
    <w:rsid w:val="00611CCB"/>
    <w:rsid w:val="00644B10"/>
    <w:rsid w:val="00647B39"/>
    <w:rsid w:val="0066368B"/>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716CF"/>
    <w:rsid w:val="008747B8"/>
    <w:rsid w:val="0088430A"/>
    <w:rsid w:val="00916308"/>
    <w:rsid w:val="009419A2"/>
    <w:rsid w:val="0095567F"/>
    <w:rsid w:val="00986D4D"/>
    <w:rsid w:val="00997536"/>
    <w:rsid w:val="009E2DA3"/>
    <w:rsid w:val="009E49C0"/>
    <w:rsid w:val="009E5BEE"/>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C00C59"/>
    <w:rsid w:val="00C077EF"/>
    <w:rsid w:val="00C239F3"/>
    <w:rsid w:val="00C3468A"/>
    <w:rsid w:val="00C37994"/>
    <w:rsid w:val="00C40E2D"/>
    <w:rsid w:val="00C4354A"/>
    <w:rsid w:val="00C47008"/>
    <w:rsid w:val="00CC2226"/>
    <w:rsid w:val="00CF23CB"/>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9D02-2F0F-4B5E-90F6-DC6A56F0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藤井 裕美子(fujii-yumiko.8k2)</cp:lastModifiedBy>
  <cp:revision>7</cp:revision>
  <cp:lastPrinted>2023-09-21T09:50:00Z</cp:lastPrinted>
  <dcterms:created xsi:type="dcterms:W3CDTF">2023-10-25T10:26:00Z</dcterms:created>
  <dcterms:modified xsi:type="dcterms:W3CDTF">2023-11-29T09:06:00Z</dcterms:modified>
</cp:coreProperties>
</file>