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14:paraId="695AF295" w14:textId="77777777" w:rsidR="006C4DD3" w:rsidRDefault="006C4DD3"/>
    <w:p w14:paraId="61192BD2" w14:textId="77777777" w:rsidR="00344D71" w:rsidRPr="00BE5394" w:rsidRDefault="00344D71"/>
    <w:p w14:paraId="1DB3147F" w14:textId="23B1DA22" w:rsidR="00344D71" w:rsidRPr="00E36BA3" w:rsidRDefault="006C4DD3" w:rsidP="0078415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1F4500">
        <w:rPr>
          <w:rFonts w:hint="eastAsia"/>
        </w:rPr>
        <w:t>は、「</w:t>
      </w:r>
      <w:r w:rsidR="00CF502A" w:rsidRPr="00CF502A">
        <w:rPr>
          <w:rFonts w:hint="eastAsia"/>
        </w:rPr>
        <w:t>年金業務システムの本格開発（フェーズ２）に係る主要構成</w:t>
      </w:r>
      <w:r w:rsidR="001F4500">
        <w:rPr>
          <w:rFonts w:hint="eastAsia"/>
        </w:rPr>
        <w:t>」に</w:t>
      </w:r>
      <w:r w:rsidRPr="006C4DD3">
        <w:rPr>
          <w:rFonts w:hint="eastAsia"/>
        </w:rPr>
        <w:t>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社会保険オンラインシステムに係る著作物（閲覧に伴って作成された二次的情報等を含む。）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を含めすべての情報を保持していない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26NGS1/p4x4XkU7LU8vau+MtUbF8Het/0RIMgOZjc32X+VNAXl3lgf8a2PbTHsDV3K+vOaxneidFsYGxofgzw==" w:salt="9kp60ZfjI6NwmzvUze3rGQ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4500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80CB3-51CC-4882-88FD-36AE2FAF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2020-12-16T10:07:00Z</dcterms:created>
  <dcterms:modified xsi:type="dcterms:W3CDTF">2021-04-01T07:09:00Z</dcterms:modified>
</cp:coreProperties>
</file>