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・保育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労働者雇用管理制度助成コース、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雇用管理制度助成コース（建設分野）、若年者及び女性に魅力ある職場づくり事業コース（建設分野）、作業員宿舎等設置助成コース（建設分野）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出生時両立支援コース、介護離職防止支援コース、育児休業等支援コース、再雇用者評価処遇コース、女性活躍加速化コース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（一般訓練コース、教育訓練休暇付与コース、特別育成訓練コース、建設労働者認定訓練コース、建設労働者技能実習コース）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A" w:rsidRDefault="000331AA" w:rsidP="00871C12">
      <w:r>
        <w:separator/>
      </w:r>
    </w:p>
  </w:endnote>
  <w:endnote w:type="continuationSeparator" w:id="0">
    <w:p w:rsidR="000331AA" w:rsidRDefault="000331AA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A" w:rsidRDefault="000331AA" w:rsidP="00871C12">
      <w:r>
        <w:separator/>
      </w:r>
    </w:p>
  </w:footnote>
  <w:footnote w:type="continuationSeparator" w:id="0">
    <w:p w:rsidR="000331AA" w:rsidRDefault="000331AA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8607-1D44-451F-89F8-EDB71E57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2018-03-27T02:09:00Z</dcterms:modified>
</cp:coreProperties>
</file>