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89" w:rsidRPr="00286E35" w:rsidRDefault="00570D91" w:rsidP="00520689">
      <w:pP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様式第７</w:t>
      </w:r>
      <w:r w:rsidR="00520689" w:rsidRPr="00286E35">
        <w:rPr>
          <w:rFonts w:ascii="ＭＳ ゴシック" w:eastAsia="ＭＳ ゴシック" w:hAnsi="ＭＳ ゴシック" w:hint="eastAsia"/>
          <w:szCs w:val="21"/>
        </w:rPr>
        <w:t>号</w:t>
      </w:r>
    </w:p>
    <w:p w:rsidR="00520689" w:rsidRPr="00E96F20" w:rsidRDefault="00520689" w:rsidP="0052068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第二</w:t>
      </w:r>
      <w:r w:rsidRPr="00E96F20">
        <w:rPr>
          <w:rFonts w:ascii="ＭＳ ゴシック" w:eastAsia="ＭＳ ゴシック" w:hAnsi="ＭＳ ゴシック" w:hint="eastAsia"/>
          <w:sz w:val="28"/>
          <w:szCs w:val="28"/>
        </w:rPr>
        <w:t>種計画認定・変更申請書</w:t>
      </w:r>
    </w:p>
    <w:p w:rsidR="00520689" w:rsidRPr="00286E35" w:rsidRDefault="00520689" w:rsidP="00520689">
      <w:pPr>
        <w:jc w:val="right"/>
        <w:rPr>
          <w:rFonts w:ascii="ＭＳ ゴシック" w:eastAsia="ＭＳ ゴシック" w:hAnsi="ＭＳ ゴシック"/>
          <w:szCs w:val="21"/>
        </w:rPr>
      </w:pPr>
      <w:r w:rsidRPr="00286E35">
        <w:rPr>
          <w:rFonts w:ascii="ＭＳ ゴシック" w:eastAsia="ＭＳ ゴシック" w:hAnsi="ＭＳ ゴシック" w:hint="eastAsia"/>
          <w:szCs w:val="21"/>
        </w:rPr>
        <w:t>年　　月　　日</w:t>
      </w:r>
    </w:p>
    <w:p w:rsidR="00520689" w:rsidRPr="00286E35" w:rsidRDefault="00520689"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rsidR="00520689" w:rsidRDefault="00520689" w:rsidP="00520689">
      <w:pPr>
        <w:jc w:val="left"/>
        <w:rPr>
          <w:rFonts w:ascii="ＭＳ ゴシック" w:eastAsia="ＭＳ ゴシック" w:hAnsi="ＭＳ ゴシック"/>
          <w:sz w:val="18"/>
          <w:szCs w:val="18"/>
        </w:rPr>
      </w:pPr>
    </w:p>
    <w:p w:rsidR="00520689" w:rsidRPr="00E96F20" w:rsidRDefault="00520689" w:rsidP="00520689">
      <w:pPr>
        <w:jc w:val="left"/>
        <w:rPr>
          <w:rFonts w:ascii="ＭＳ ゴシック" w:eastAsia="ＭＳ ゴシック" w:hAnsi="ＭＳ ゴシック"/>
          <w:sz w:val="18"/>
          <w:szCs w:val="18"/>
        </w:rPr>
      </w:pPr>
    </w:p>
    <w:p w:rsidR="00520689" w:rsidRPr="00C07661" w:rsidRDefault="00520689" w:rsidP="00520689">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621"/>
        <w:gridCol w:w="3200"/>
        <w:gridCol w:w="62"/>
      </w:tblGrid>
      <w:tr w:rsidR="00520689" w:rsidTr="00146D06">
        <w:trPr>
          <w:trHeight w:val="810"/>
        </w:trPr>
        <w:tc>
          <w:tcPr>
            <w:tcW w:w="1620" w:type="dxa"/>
            <w:vAlign w:val="center"/>
          </w:tcPr>
          <w:p w:rsidR="00520689" w:rsidRPr="0096638E" w:rsidRDefault="00520689" w:rsidP="0053462A">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rsidR="00520689" w:rsidRPr="0096638E" w:rsidRDefault="00520689" w:rsidP="00E55F7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20689"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621" w:type="dxa"/>
            <w:vAlign w:val="center"/>
          </w:tcPr>
          <w:p w:rsidR="006F62D8" w:rsidRDefault="00520689" w:rsidP="00E55F71">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146D06">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rsidR="00520689" w:rsidRPr="0096638E" w:rsidRDefault="00520689" w:rsidP="00E55F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Pr>
                <w:rFonts w:ascii="ＭＳ ゴシック" w:eastAsia="ＭＳ ゴシック" w:hAnsi="ＭＳ ゴシック" w:hint="eastAsia"/>
                <w:sz w:val="18"/>
                <w:szCs w:val="18"/>
              </w:rPr>
              <w:t xml:space="preserve">  </w:t>
            </w:r>
          </w:p>
        </w:tc>
        <w:tc>
          <w:tcPr>
            <w:tcW w:w="3262" w:type="dxa"/>
            <w:gridSpan w:val="2"/>
            <w:vAlign w:val="center"/>
          </w:tcPr>
          <w:p w:rsidR="00520689" w:rsidRDefault="00520689" w:rsidP="00E55F71">
            <w:pPr>
              <w:widowControl/>
              <w:wordWrap w:val="0"/>
              <w:ind w:right="1590"/>
              <w:rPr>
                <w:rFonts w:ascii="ＭＳ ゴシック" w:eastAsia="ＭＳ ゴシック" w:hAnsi="ＭＳ ゴシック"/>
                <w:szCs w:val="21"/>
              </w:rPr>
            </w:pPr>
          </w:p>
          <w:p w:rsidR="00520689" w:rsidRPr="000E4F9C" w:rsidRDefault="0053462A" w:rsidP="00E55F71">
            <w:pPr>
              <w:widowControl/>
              <w:wordWrap w:val="0"/>
              <w:jc w:val="right"/>
              <w:rPr>
                <w:rFonts w:ascii="ＭＳ ゴシック" w:eastAsia="ＭＳ ゴシック" w:hAnsi="ＭＳ ゴシック"/>
                <w:sz w:val="18"/>
                <w:szCs w:val="18"/>
              </w:rPr>
            </w:pPr>
            <w:r w:rsidRPr="003A543C">
              <w:rPr>
                <w:rFonts w:ascii="ＭＳ ゴシック" w:eastAsia="ＭＳ ゴシック" w:hAnsi="ＭＳ ゴシック" w:hint="eastAsia"/>
                <w:sz w:val="22"/>
              </w:rPr>
              <w:t>㊞</w:t>
            </w:r>
            <w:r w:rsidR="00520689">
              <w:rPr>
                <w:rFonts w:ascii="ＭＳ ゴシック" w:eastAsia="ＭＳ ゴシック" w:hAnsi="ＭＳ ゴシック" w:hint="eastAsia"/>
                <w:sz w:val="18"/>
                <w:szCs w:val="18"/>
              </w:rPr>
              <w:t xml:space="preserve">　</w:t>
            </w:r>
          </w:p>
        </w:tc>
      </w:tr>
      <w:tr w:rsidR="00520689" w:rsidTr="00E55F71">
        <w:trPr>
          <w:gridAfter w:val="1"/>
          <w:wAfter w:w="62" w:type="dxa"/>
          <w:trHeight w:val="335"/>
        </w:trPr>
        <w:tc>
          <w:tcPr>
            <w:tcW w:w="1620" w:type="dxa"/>
            <w:vAlign w:val="center"/>
          </w:tcPr>
          <w:p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90" w:type="dxa"/>
            <w:gridSpan w:val="3"/>
            <w:vAlign w:val="center"/>
          </w:tcPr>
          <w:p w:rsidR="00520689" w:rsidRPr="0096638E" w:rsidRDefault="00520689" w:rsidP="00E55F7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r w:rsidRPr="0096638E">
              <w:rPr>
                <w:rFonts w:ascii="ＭＳ ゴシック" w:eastAsia="ＭＳ ゴシック" w:hAnsi="ＭＳ ゴシック" w:hint="eastAsia"/>
                <w:sz w:val="18"/>
                <w:szCs w:val="18"/>
              </w:rPr>
              <w:t>電話番号</w:t>
            </w:r>
            <w:r>
              <w:rPr>
                <w:rFonts w:ascii="ＭＳ ゴシック" w:eastAsia="ＭＳ ゴシック" w:hAnsi="ＭＳ ゴシック" w:hint="eastAsia"/>
                <w:sz w:val="18"/>
                <w:szCs w:val="18"/>
              </w:rPr>
              <w:t xml:space="preserve">　　　　(       )</w:t>
            </w:r>
          </w:p>
          <w:p w:rsidR="00520689" w:rsidRPr="0096638E" w:rsidRDefault="00520689" w:rsidP="00E55F71">
            <w:pPr>
              <w:ind w:firstLineChars="2600" w:firstLine="4680"/>
              <w:rPr>
                <w:rFonts w:ascii="ＭＳ ゴシック" w:eastAsia="ＭＳ ゴシック" w:hAnsi="ＭＳ ゴシック"/>
                <w:szCs w:val="21"/>
              </w:rPr>
            </w:pPr>
            <w:r w:rsidRPr="0096638E">
              <w:rPr>
                <w:rFonts w:ascii="ＭＳ ゴシック" w:eastAsia="ＭＳ ゴシック" w:hAnsi="ＭＳ ゴシック" w:hint="eastAsia"/>
                <w:sz w:val="18"/>
                <w:szCs w:val="18"/>
              </w:rPr>
              <w:t>ＦＡＸ番号</w:t>
            </w:r>
            <w:r>
              <w:rPr>
                <w:rFonts w:ascii="ＭＳ ゴシック" w:eastAsia="ＭＳ ゴシック" w:hAnsi="ＭＳ ゴシック" w:hint="eastAsia"/>
                <w:sz w:val="18"/>
                <w:szCs w:val="18"/>
              </w:rPr>
              <w:t xml:space="preserve">      (       )</w:t>
            </w:r>
          </w:p>
        </w:tc>
      </w:tr>
    </w:tbl>
    <w:p w:rsidR="00520689" w:rsidRDefault="00520689" w:rsidP="00520689">
      <w:pPr>
        <w:jc w:val="left"/>
        <w:rPr>
          <w:rFonts w:ascii="ＭＳ ゴシック" w:eastAsia="ＭＳ ゴシック" w:hAnsi="ＭＳ ゴシック"/>
          <w:szCs w:val="21"/>
        </w:rPr>
      </w:pPr>
    </w:p>
    <w:p w:rsidR="00520689" w:rsidRDefault="00520689" w:rsidP="00520689">
      <w:pPr>
        <w:jc w:val="left"/>
        <w:rPr>
          <w:rFonts w:ascii="ＭＳ ゴシック" w:eastAsia="ＭＳ ゴシック" w:hAnsi="ＭＳ ゴシック"/>
          <w:szCs w:val="21"/>
        </w:rPr>
      </w:pPr>
    </w:p>
    <w:p w:rsidR="00520689" w:rsidRPr="00FF6154" w:rsidRDefault="00520689" w:rsidP="00520689">
      <w:pPr>
        <w:rPr>
          <w:rFonts w:ascii="ＭＳ ゴシック" w:eastAsia="ＭＳ ゴシック" w:hAnsi="ＭＳ ゴシック"/>
          <w:b/>
          <w:szCs w:val="21"/>
        </w:rPr>
      </w:pPr>
      <w:r w:rsidRPr="00FF6154">
        <w:rPr>
          <w:rFonts w:ascii="ＭＳ ゴシック" w:eastAsia="ＭＳ ゴシック" w:hAnsi="ＭＳ ゴシック" w:hint="eastAsia"/>
          <w:b/>
          <w:szCs w:val="21"/>
        </w:rPr>
        <w:t>２　第二</w:t>
      </w:r>
      <w:r>
        <w:rPr>
          <w:rFonts w:ascii="ＭＳ ゴシック" w:eastAsia="ＭＳ ゴシック" w:hAnsi="ＭＳ ゴシック" w:hint="eastAsia"/>
          <w:b/>
          <w:szCs w:val="21"/>
        </w:rPr>
        <w:t>種特定有期雇用労働者の特性に応じた雇用管理に関する措置の内容</w:t>
      </w:r>
    </w:p>
    <w:p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□高年齢者雇用推進者の選任</w:t>
      </w:r>
    </w:p>
    <w:p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□職業訓練の実施</w:t>
      </w:r>
    </w:p>
    <w:p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□作業施設</w:t>
      </w:r>
      <w:r>
        <w:rPr>
          <w:rFonts w:ascii="ＭＳ ゴシック" w:eastAsia="ＭＳ ゴシック" w:hAnsi="ＭＳ ゴシック" w:hint="eastAsia"/>
          <w:szCs w:val="21"/>
        </w:rPr>
        <w:t>・方法</w:t>
      </w:r>
      <w:r w:rsidRPr="00FF6154">
        <w:rPr>
          <w:rFonts w:ascii="ＭＳ ゴシック" w:eastAsia="ＭＳ ゴシック" w:hAnsi="ＭＳ ゴシック" w:hint="eastAsia"/>
          <w:szCs w:val="21"/>
        </w:rPr>
        <w:t>の改善</w:t>
      </w:r>
    </w:p>
    <w:p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□健康管理、安全衛生の配慮</w:t>
      </w:r>
    </w:p>
    <w:p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□職域の拡大</w:t>
      </w:r>
    </w:p>
    <w:p w:rsidR="00520689" w:rsidRPr="00FF6154"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□職業能力を評価する仕組み、資格制度、専門</w:t>
      </w:r>
      <w:r>
        <w:rPr>
          <w:rFonts w:ascii="ＭＳ ゴシック" w:eastAsia="ＭＳ ゴシック" w:hAnsi="ＭＳ ゴシック" w:hint="eastAsia"/>
          <w:szCs w:val="21"/>
        </w:rPr>
        <w:t>職</w:t>
      </w:r>
      <w:r w:rsidRPr="00FF6154">
        <w:rPr>
          <w:rFonts w:ascii="ＭＳ ゴシック" w:eastAsia="ＭＳ ゴシック" w:hAnsi="ＭＳ ゴシック" w:hint="eastAsia"/>
          <w:szCs w:val="21"/>
        </w:rPr>
        <w:t>制度等の整備</w:t>
      </w:r>
    </w:p>
    <w:p w:rsidR="00520689"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□職務等の要素を重視する賃金制度の整備</w:t>
      </w:r>
    </w:p>
    <w:p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□勤務時間制度の弾力化</w:t>
      </w:r>
    </w:p>
    <w:p w:rsidR="00520689" w:rsidRPr="00886A74" w:rsidRDefault="00520689" w:rsidP="00520689">
      <w:pPr>
        <w:jc w:val="left"/>
        <w:rPr>
          <w:rFonts w:ascii="ＭＳ ゴシック" w:eastAsia="ＭＳ ゴシック" w:hAnsi="ＭＳ ゴシック"/>
          <w:szCs w:val="21"/>
        </w:rPr>
      </w:pPr>
    </w:p>
    <w:p w:rsidR="00520689" w:rsidRPr="00C07661" w:rsidRDefault="00520689" w:rsidP="00520689">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C07661">
        <w:rPr>
          <w:rFonts w:ascii="ＭＳ ゴシック" w:eastAsia="ＭＳ ゴシック" w:hAnsi="ＭＳ ゴシック" w:hint="eastAsia"/>
          <w:b/>
          <w:szCs w:val="21"/>
        </w:rPr>
        <w:t xml:space="preserve">　その他</w:t>
      </w:r>
    </w:p>
    <w:p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□高年齢者雇用安定法第９条の高年齢者雇用確保措置を講じている。</w:t>
      </w:r>
    </w:p>
    <w:p w:rsidR="00520689" w:rsidRPr="0067327C" w:rsidRDefault="00520689" w:rsidP="00520689">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A1C30">
        <w:rPr>
          <w:rFonts w:ascii="ＭＳ ゴシック" w:eastAsia="ＭＳ ゴシック" w:hAnsi="ＭＳ ゴシック" w:hint="eastAsia"/>
          <w:szCs w:val="21"/>
        </w:rPr>
        <w:t>65歳以上への</w:t>
      </w:r>
      <w:r>
        <w:rPr>
          <w:rFonts w:ascii="ＭＳ ゴシック" w:eastAsia="ＭＳ ゴシック" w:hAnsi="ＭＳ ゴシック" w:hint="eastAsia"/>
          <w:szCs w:val="21"/>
        </w:rPr>
        <w:t>定年の引き上げ</w:t>
      </w:r>
    </w:p>
    <w:p w:rsidR="00520689" w:rsidRPr="00D872CF" w:rsidRDefault="00520689" w:rsidP="00520689">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Pr="00D872CF">
        <w:rPr>
          <w:rFonts w:ascii="ＭＳ ゴシック" w:eastAsia="ＭＳ ゴシック" w:hAnsi="ＭＳ ゴシック" w:hint="eastAsia"/>
          <w:color w:val="000000" w:themeColor="text1"/>
          <w:szCs w:val="21"/>
        </w:rPr>
        <w:t xml:space="preserve">　□継続雇用制度の導入</w:t>
      </w:r>
    </w:p>
    <w:p w:rsidR="00520689" w:rsidRPr="00D872CF" w:rsidRDefault="00520689" w:rsidP="00520689">
      <w:pPr>
        <w:ind w:firstLineChars="500" w:firstLine="1050"/>
        <w:jc w:val="left"/>
        <w:rPr>
          <w:rFonts w:ascii="ＭＳ ゴシック" w:eastAsia="ＭＳ ゴシック" w:hAnsi="ＭＳ ゴシック"/>
          <w:color w:val="000000" w:themeColor="text1"/>
          <w:szCs w:val="21"/>
        </w:rPr>
      </w:pPr>
      <w:r w:rsidRPr="00D872CF">
        <w:rPr>
          <w:rFonts w:ascii="ＭＳ ゴシック" w:eastAsia="ＭＳ ゴシック" w:hAnsi="ＭＳ ゴシック" w:hint="eastAsia"/>
          <w:color w:val="000000" w:themeColor="text1"/>
          <w:szCs w:val="21"/>
        </w:rPr>
        <w:t>□希望者全員を対象</w:t>
      </w:r>
    </w:p>
    <w:p w:rsidR="00520689" w:rsidRPr="00D872CF" w:rsidRDefault="00520689" w:rsidP="00520689">
      <w:pPr>
        <w:ind w:firstLineChars="500" w:firstLine="1050"/>
        <w:jc w:val="left"/>
        <w:rPr>
          <w:rFonts w:ascii="ＭＳ ゴシック" w:eastAsia="ＭＳ ゴシック" w:hAnsi="ＭＳ ゴシック"/>
          <w:color w:val="000000" w:themeColor="text1"/>
          <w:szCs w:val="21"/>
        </w:rPr>
      </w:pPr>
      <w:r w:rsidRPr="00D872C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経過措置に基づく</w:t>
      </w:r>
      <w:r w:rsidRPr="00D872CF">
        <w:rPr>
          <w:rFonts w:ascii="ＭＳ ゴシック" w:eastAsia="ＭＳ ゴシック" w:hAnsi="ＭＳ ゴシック" w:hint="eastAsia"/>
          <w:color w:val="000000" w:themeColor="text1"/>
          <w:szCs w:val="21"/>
        </w:rPr>
        <w:t>労使協定</w:t>
      </w:r>
      <w:r>
        <w:rPr>
          <w:rFonts w:ascii="ＭＳ ゴシック" w:eastAsia="ＭＳ ゴシック" w:hAnsi="ＭＳ ゴシック" w:hint="eastAsia"/>
          <w:color w:val="000000" w:themeColor="text1"/>
          <w:szCs w:val="21"/>
        </w:rPr>
        <w:t>により</w:t>
      </w:r>
      <w:r w:rsidRPr="00D872CF">
        <w:rPr>
          <w:rFonts w:ascii="ＭＳ ゴシック" w:eastAsia="ＭＳ ゴシック" w:hAnsi="ＭＳ ゴシック" w:hint="eastAsia"/>
          <w:color w:val="000000" w:themeColor="text1"/>
          <w:szCs w:val="21"/>
        </w:rPr>
        <w:t>継続雇用の対象者を限定する基準を利用</w:t>
      </w:r>
    </w:p>
    <w:p w:rsidR="00520689" w:rsidRPr="00D872CF" w:rsidRDefault="00520689" w:rsidP="00520689">
      <w:pPr>
        <w:ind w:leftChars="505" w:left="1424" w:hangingChars="202" w:hanging="364"/>
        <w:jc w:val="left"/>
        <w:rPr>
          <w:rFonts w:ascii="ＭＳ ゴシック" w:eastAsia="ＭＳ ゴシック" w:hAnsi="ＭＳ ゴシック"/>
          <w:color w:val="000000" w:themeColor="text1"/>
          <w:sz w:val="18"/>
          <w:szCs w:val="18"/>
        </w:rPr>
      </w:pPr>
      <w:r w:rsidRPr="00D872CF">
        <w:rPr>
          <w:rFonts w:ascii="ＭＳ ゴシック" w:eastAsia="ＭＳ ゴシック" w:hAnsi="ＭＳ ゴシック" w:hint="eastAsia"/>
          <w:color w:val="000000" w:themeColor="text1"/>
          <w:sz w:val="18"/>
          <w:szCs w:val="18"/>
        </w:rPr>
        <w:t>（注）高年齢者等の雇用の安定等に関する法律の一部を改正する法律（平成24年法律第78号）附則第３項に規定する経過措置に基づく継続雇用の対象者を限定する基準がある場合</w:t>
      </w:r>
    </w:p>
    <w:p w:rsidR="00520689" w:rsidRPr="00D872CF" w:rsidRDefault="00520689" w:rsidP="00520689">
      <w:pPr>
        <w:jc w:val="left"/>
        <w:rPr>
          <w:rFonts w:ascii="ＭＳ ゴシック" w:eastAsia="ＭＳ ゴシック" w:hAnsi="ＭＳ ゴシック"/>
          <w:color w:val="000000" w:themeColor="text1"/>
          <w:szCs w:val="21"/>
        </w:rPr>
      </w:pPr>
    </w:p>
    <w:p w:rsidR="00520689" w:rsidRPr="00D872CF" w:rsidRDefault="00520689" w:rsidP="00520689">
      <w:pPr>
        <w:jc w:val="left"/>
        <w:rPr>
          <w:rFonts w:ascii="ＭＳ ゴシック" w:eastAsia="ＭＳ ゴシック" w:hAnsi="ＭＳ ゴシック"/>
          <w:color w:val="000000" w:themeColor="text1"/>
          <w:szCs w:val="21"/>
        </w:rPr>
      </w:pPr>
    </w:p>
    <w:p w:rsidR="00520689" w:rsidRPr="00D872CF" w:rsidRDefault="00520689" w:rsidP="00520689">
      <w:pPr>
        <w:spacing w:line="240" w:lineRule="exact"/>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（記入上の注意）</w:t>
      </w: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第二種特定有期雇用労働者の特性に応じた雇用管理に関する措置の内容」は該当する措置の内容の□</w:t>
      </w:r>
      <w:r>
        <w:rPr>
          <w:rFonts w:ascii="ＭＳ ゴシック" w:eastAsia="ＭＳ ゴシック" w:hAnsi="ＭＳ ゴシック" w:hint="eastAsia"/>
          <w:color w:val="000000" w:themeColor="text1"/>
          <w:sz w:val="18"/>
          <w:szCs w:val="21"/>
        </w:rPr>
        <w:t>に</w:t>
      </w:r>
      <w:r w:rsidRPr="00D872CF">
        <w:rPr>
          <w:rFonts w:ascii="ＭＳ ゴシック" w:eastAsia="ＭＳ ゴシック" w:hAnsi="ＭＳ ゴシック" w:hint="eastAsia"/>
          <w:color w:val="000000" w:themeColor="text1"/>
          <w:sz w:val="18"/>
          <w:szCs w:val="21"/>
        </w:rPr>
        <w:t>チェックして下さい。</w:t>
      </w: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２．「３　その他」は、該当する□はすべてチェックしてください。</w:t>
      </w: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（添付書類）</w:t>
      </w: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第二種特定有期雇用労働者の特性に応じた雇用管理に関する措置」を実施することが分かる資料（例：契約書の雛形、就業規則等）</w:t>
      </w:r>
    </w:p>
    <w:p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w:t>
      </w:r>
      <w:r w:rsidRPr="00D872CF">
        <w:rPr>
          <w:rFonts w:ascii="ＭＳ ゴシック" w:eastAsia="ＭＳ ゴシック" w:hAnsi="ＭＳ ゴシック"/>
          <w:color w:val="000000" w:themeColor="text1"/>
          <w:sz w:val="18"/>
          <w:szCs w:val="21"/>
        </w:rPr>
        <w:t>.高年齢者雇用確保措置を講じていることが分かる資料（就業規則</w:t>
      </w:r>
      <w:r w:rsidRPr="00D872CF">
        <w:rPr>
          <w:rFonts w:ascii="ＭＳ ゴシック" w:eastAsia="ＭＳ ゴシック" w:hAnsi="ＭＳ ゴシック" w:hint="eastAsia"/>
          <w:color w:val="000000" w:themeColor="text1"/>
          <w:sz w:val="18"/>
          <w:szCs w:val="21"/>
        </w:rPr>
        <w:t>等（経過措置に基づ</w:t>
      </w:r>
      <w:r>
        <w:rPr>
          <w:rFonts w:ascii="ＭＳ ゴシック" w:eastAsia="ＭＳ ゴシック" w:hAnsi="ＭＳ ゴシック" w:hint="eastAsia"/>
          <w:color w:val="000000" w:themeColor="text1"/>
          <w:sz w:val="18"/>
          <w:szCs w:val="21"/>
        </w:rPr>
        <w:t>く</w:t>
      </w:r>
      <w:r w:rsidRPr="00D872CF">
        <w:rPr>
          <w:rFonts w:ascii="ＭＳ ゴシック" w:eastAsia="ＭＳ ゴシック" w:hAnsi="ＭＳ ゴシック" w:hint="eastAsia"/>
          <w:color w:val="000000" w:themeColor="text1"/>
          <w:sz w:val="18"/>
          <w:szCs w:val="21"/>
        </w:rPr>
        <w:t>継続雇用の対象者を限定する基準を設けている場合は、当該基準を定めた労使協定書（複数事業所を有する場合は本社分のみで可。</w:t>
      </w:r>
      <w:r w:rsidRPr="00D872CF">
        <w:rPr>
          <w:rFonts w:ascii="ＭＳ ゴシック" w:eastAsia="ＭＳ ゴシック" w:hAnsi="ＭＳ ゴシック"/>
          <w:color w:val="000000" w:themeColor="text1"/>
          <w:sz w:val="18"/>
          <w:szCs w:val="21"/>
        </w:rPr>
        <w:t>）</w:t>
      </w:r>
      <w:r w:rsidRPr="00D872CF">
        <w:rPr>
          <w:rFonts w:ascii="ＭＳ ゴシック" w:eastAsia="ＭＳ ゴシック" w:hAnsi="ＭＳ ゴシック" w:hint="eastAsia"/>
          <w:color w:val="000000" w:themeColor="text1"/>
          <w:sz w:val="18"/>
          <w:szCs w:val="21"/>
        </w:rPr>
        <w:t>を含む。）</w:t>
      </w:r>
      <w:r>
        <w:rPr>
          <w:rFonts w:ascii="ＭＳ ゴシック" w:eastAsia="ＭＳ ゴシック" w:hAnsi="ＭＳ ゴシック" w:hint="eastAsia"/>
          <w:color w:val="000000" w:themeColor="text1"/>
          <w:sz w:val="18"/>
          <w:szCs w:val="21"/>
        </w:rPr>
        <w:t>）</w:t>
      </w:r>
    </w:p>
    <w:p w:rsidR="00520689" w:rsidRPr="007638CB" w:rsidRDefault="00520689" w:rsidP="00520689">
      <w:pPr>
        <w:spacing w:line="240" w:lineRule="exact"/>
        <w:ind w:left="180" w:hangingChars="100" w:hanging="180"/>
        <w:jc w:val="left"/>
        <w:rPr>
          <w:rFonts w:ascii="ＭＳ ゴシック" w:eastAsia="ＭＳ ゴシック" w:hAnsi="ＭＳ ゴシック"/>
          <w:sz w:val="18"/>
          <w:szCs w:val="21"/>
        </w:rPr>
      </w:pPr>
      <w:r w:rsidRPr="00D872CF">
        <w:rPr>
          <w:rFonts w:asciiTheme="majorEastAsia" w:eastAsiaTheme="majorEastAsia" w:hAnsiTheme="majorEastAsia" w:hint="eastAsia"/>
          <w:color w:val="000000" w:themeColor="text1"/>
          <w:sz w:val="18"/>
          <w:szCs w:val="21"/>
        </w:rPr>
        <w:t>３．</w:t>
      </w:r>
      <w:r w:rsidRPr="00D872CF">
        <w:rPr>
          <w:rFonts w:ascii="ＭＳ ゴシック" w:eastAsia="ＭＳ ゴシック" w:hAnsi="ＭＳ ゴシック" w:hint="eastAsia"/>
          <w:color w:val="000000" w:themeColor="text1"/>
          <w:sz w:val="18"/>
          <w:szCs w:val="21"/>
        </w:rPr>
        <w:t>変更申請</w:t>
      </w:r>
      <w:r w:rsidRPr="007638CB">
        <w:rPr>
          <w:rFonts w:ascii="ＭＳ ゴシック" w:eastAsia="ＭＳ ゴシック" w:hAnsi="ＭＳ ゴシック" w:hint="eastAsia"/>
          <w:sz w:val="18"/>
          <w:szCs w:val="21"/>
        </w:rPr>
        <w:t>の場合は、認定されている計画の写し。</w:t>
      </w:r>
    </w:p>
    <w:p w:rsidR="007777DC" w:rsidRPr="00520689" w:rsidRDefault="007777DC" w:rsidP="00520689">
      <w:pPr>
        <w:rPr>
          <w:rFonts w:ascii="ＭＳ ゴシック" w:eastAsia="ＭＳ ゴシック" w:hAnsi="ＭＳ ゴシック"/>
          <w:sz w:val="18"/>
          <w:szCs w:val="21"/>
        </w:rPr>
      </w:pPr>
    </w:p>
    <w:sectPr w:rsidR="007777DC" w:rsidRPr="00520689"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88" w:rsidRDefault="007E1788" w:rsidP="007638CB">
      <w:r>
        <w:separator/>
      </w:r>
    </w:p>
  </w:endnote>
  <w:endnote w:type="continuationSeparator" w:id="0">
    <w:p w:rsidR="007E1788" w:rsidRDefault="007E1788"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88" w:rsidRDefault="007E1788" w:rsidP="007638CB">
      <w:r>
        <w:separator/>
      </w:r>
    </w:p>
  </w:footnote>
  <w:footnote w:type="continuationSeparator" w:id="0">
    <w:p w:rsidR="007E1788" w:rsidRDefault="007E1788"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FA"/>
    <w:rsid w:val="00037334"/>
    <w:rsid w:val="00046F0B"/>
    <w:rsid w:val="000E4F9C"/>
    <w:rsid w:val="00100643"/>
    <w:rsid w:val="00114534"/>
    <w:rsid w:val="00146D06"/>
    <w:rsid w:val="00160564"/>
    <w:rsid w:val="00161246"/>
    <w:rsid w:val="00161893"/>
    <w:rsid w:val="00167AE9"/>
    <w:rsid w:val="00194855"/>
    <w:rsid w:val="001A18A9"/>
    <w:rsid w:val="001E6F53"/>
    <w:rsid w:val="0023410E"/>
    <w:rsid w:val="00240DA0"/>
    <w:rsid w:val="00246C01"/>
    <w:rsid w:val="002557B0"/>
    <w:rsid w:val="00261624"/>
    <w:rsid w:val="00286E35"/>
    <w:rsid w:val="0029588E"/>
    <w:rsid w:val="002F438C"/>
    <w:rsid w:val="00302C42"/>
    <w:rsid w:val="0032700E"/>
    <w:rsid w:val="0037566F"/>
    <w:rsid w:val="00423EF8"/>
    <w:rsid w:val="00440CC5"/>
    <w:rsid w:val="004869B3"/>
    <w:rsid w:val="004E4D30"/>
    <w:rsid w:val="00506D73"/>
    <w:rsid w:val="00520689"/>
    <w:rsid w:val="0053462A"/>
    <w:rsid w:val="00570D91"/>
    <w:rsid w:val="005C6E1D"/>
    <w:rsid w:val="005F46B1"/>
    <w:rsid w:val="00613B2B"/>
    <w:rsid w:val="00615DF7"/>
    <w:rsid w:val="00646197"/>
    <w:rsid w:val="00660270"/>
    <w:rsid w:val="0067327C"/>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53735"/>
    <w:rsid w:val="00886A74"/>
    <w:rsid w:val="008C077B"/>
    <w:rsid w:val="008D791A"/>
    <w:rsid w:val="008E64E6"/>
    <w:rsid w:val="008F03E6"/>
    <w:rsid w:val="0096428A"/>
    <w:rsid w:val="0096638E"/>
    <w:rsid w:val="0096673D"/>
    <w:rsid w:val="009866D9"/>
    <w:rsid w:val="00996EC9"/>
    <w:rsid w:val="009C0BBD"/>
    <w:rsid w:val="00A156A7"/>
    <w:rsid w:val="00A1762D"/>
    <w:rsid w:val="00A46F12"/>
    <w:rsid w:val="00A82900"/>
    <w:rsid w:val="00A927DB"/>
    <w:rsid w:val="00A95E4E"/>
    <w:rsid w:val="00AA31DC"/>
    <w:rsid w:val="00AD132C"/>
    <w:rsid w:val="00B86E35"/>
    <w:rsid w:val="00BE6EBD"/>
    <w:rsid w:val="00C07661"/>
    <w:rsid w:val="00C24CC0"/>
    <w:rsid w:val="00C56C85"/>
    <w:rsid w:val="00C62955"/>
    <w:rsid w:val="00C6505F"/>
    <w:rsid w:val="00C659E7"/>
    <w:rsid w:val="00C772CB"/>
    <w:rsid w:val="00C921F9"/>
    <w:rsid w:val="00CA0C4A"/>
    <w:rsid w:val="00CD6F68"/>
    <w:rsid w:val="00D07854"/>
    <w:rsid w:val="00D142FE"/>
    <w:rsid w:val="00D30996"/>
    <w:rsid w:val="00D462E8"/>
    <w:rsid w:val="00D872CF"/>
    <w:rsid w:val="00D90952"/>
    <w:rsid w:val="00DE4333"/>
    <w:rsid w:val="00E327FF"/>
    <w:rsid w:val="00E96F20"/>
    <w:rsid w:val="00E97211"/>
    <w:rsid w:val="00EA1C30"/>
    <w:rsid w:val="00EB4D71"/>
    <w:rsid w:val="00EE79B5"/>
    <w:rsid w:val="00EE7B5E"/>
    <w:rsid w:val="00EF747F"/>
    <w:rsid w:val="00F05539"/>
    <w:rsid w:val="00F26302"/>
    <w:rsid w:val="00F3766A"/>
    <w:rsid w:val="00F37D8F"/>
    <w:rsid w:val="00F526BB"/>
    <w:rsid w:val="00F55767"/>
    <w:rsid w:val="00F605D5"/>
    <w:rsid w:val="00F72C76"/>
    <w:rsid w:val="00F81018"/>
    <w:rsid w:val="00FB1787"/>
    <w:rsid w:val="00FC7813"/>
    <w:rsid w:val="00FC786A"/>
    <w:rsid w:val="00FE1CA6"/>
    <w:rsid w:val="00FF003B"/>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F41E-A383-4683-87B9-846C0913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dc:creator>
  <cp:lastModifiedBy>厚生労働省ネットワークシステム</cp:lastModifiedBy>
  <cp:revision>19</cp:revision>
  <cp:lastPrinted>2015-01-22T12:15:00Z</cp:lastPrinted>
  <dcterms:created xsi:type="dcterms:W3CDTF">2015-01-23T02:59:00Z</dcterms:created>
  <dcterms:modified xsi:type="dcterms:W3CDTF">2017-12-01T12:07:00Z</dcterms:modified>
</cp:coreProperties>
</file>