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C6883" w14:textId="77777777" w:rsidR="00703BCF" w:rsidRPr="00142385" w:rsidRDefault="00703BCF" w:rsidP="00703BCF">
      <w:r w:rsidRPr="00142385">
        <w:rPr>
          <w:rFonts w:asciiTheme="majorEastAsia" w:eastAsiaTheme="majorEastAsia" w:hAnsiTheme="majorEastAsia" w:hint="eastAsia"/>
          <w:b/>
        </w:rPr>
        <w:t>様式第百五</w:t>
      </w:r>
      <w:r w:rsidRPr="00142385">
        <w:t>(</w:t>
      </w:r>
      <w:r w:rsidRPr="00142385">
        <w:rPr>
          <w:rFonts w:hint="eastAsia"/>
        </w:rPr>
        <w:t>第二百四十八条関係</w:t>
      </w:r>
      <w:r w:rsidRPr="00142385">
        <w:t>)</w:t>
      </w:r>
    </w:p>
    <w:p w14:paraId="0CD221A4" w14:textId="77777777" w:rsidR="00E90D05" w:rsidRPr="00142385" w:rsidRDefault="00E90D05">
      <w:pPr>
        <w:jc w:val="center"/>
      </w:pPr>
      <w:r w:rsidRPr="00142385">
        <w:rPr>
          <w:rFonts w:hint="eastAsia"/>
        </w:rPr>
        <w:t>第</w:t>
      </w:r>
      <w:r w:rsidRPr="00142385">
        <w:t>1</w:t>
      </w:r>
      <w:r w:rsidRPr="00142385">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0"/>
        <w:gridCol w:w="675"/>
        <w:gridCol w:w="3001"/>
        <w:gridCol w:w="627"/>
        <w:gridCol w:w="836"/>
      </w:tblGrid>
      <w:tr w:rsidR="00142385" w:rsidRPr="00142385" w14:paraId="472F3173" w14:textId="77777777">
        <w:trPr>
          <w:cantSplit/>
          <w:trHeight w:val="600"/>
        </w:trPr>
        <w:tc>
          <w:tcPr>
            <w:tcW w:w="9823" w:type="dxa"/>
            <w:gridSpan w:val="4"/>
            <w:tcBorders>
              <w:top w:val="nil"/>
            </w:tcBorders>
            <w:vAlign w:val="center"/>
          </w:tcPr>
          <w:p w14:paraId="74613EF5" w14:textId="77777777" w:rsidR="00E90D05" w:rsidRPr="00142385" w:rsidRDefault="00BD31F8">
            <w:pPr>
              <w:jc w:val="center"/>
            </w:pPr>
            <w:r w:rsidRPr="00142385">
              <w:rPr>
                <w:noProof/>
              </w:rPr>
              <mc:AlternateContent>
                <mc:Choice Requires="wpg">
                  <w:drawing>
                    <wp:anchor distT="0" distB="0" distL="114300" distR="114300" simplePos="0" relativeHeight="251657216" behindDoc="0" locked="0" layoutInCell="0" allowOverlap="1" wp14:anchorId="7748790E" wp14:editId="3258F676">
                      <wp:simplePos x="0" y="0"/>
                      <wp:positionH relativeFrom="column">
                        <wp:posOffset>0</wp:posOffset>
                      </wp:positionH>
                      <wp:positionV relativeFrom="paragraph">
                        <wp:posOffset>190500</wp:posOffset>
                      </wp:positionV>
                      <wp:extent cx="6231890" cy="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0"/>
                                <a:chOff x="612" y="1535"/>
                                <a:chExt cx="9814" cy="0"/>
                              </a:xfrm>
                            </wpg:grpSpPr>
                            <wps:wsp>
                              <wps:cNvPr id="5" name="Line 3"/>
                              <wps:cNvCnPr/>
                              <wps:spPr bwMode="auto">
                                <a:xfrm>
                                  <a:off x="612" y="1535"/>
                                  <a:ext cx="4535" cy="0"/>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
                              <wps:cNvCnPr/>
                              <wps:spPr bwMode="auto">
                                <a:xfrm flipH="1">
                                  <a:off x="5891" y="1535"/>
                                  <a:ext cx="4535" cy="0"/>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8AB9B6" id="Group 2" o:spid="_x0000_s1026" style="position:absolute;left:0;text-align:left;margin-left:0;margin-top:15pt;width:490.7pt;height:0;z-index:251657216" coordorigin="612,1535" coordsize="9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" o:allowincell="f">
                      <v:line id="Line 3" o:spid="_x0000_s1027" style="position:absolute;visibility:visible;mso-wrap-style:square" from="612,1535" to="5147,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e06cIAAADaAAAADwAAAGRycy9kb3ducmV2LnhtbESPQWvCQBSE7wX/w/IK3uqmSorEbCQI&#10;Um+h0Yu3R/aZBLNvw+6qqb++Wyj0OMzMN0y+ncwg7uR8b1nB+yIBQdxY3XOr4HTcv61B+ICscbBM&#10;Cr7Jw7aYveSYafvgL7rXoRURwj5DBV0IYyalbzoy6Bd2JI7exTqDIUrXSu3wEeFmkMsk+ZAGe44L&#10;HY6066i51jejoFzVp+b5We4dH3dVcivP/VClSs1fp3IDItAU/sN/7YNWkMLvlXgD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0e06cIAAADaAAAADwAAAAAAAAAAAAAA&#10;AAChAgAAZHJzL2Rvd25yZXYueG1sUEsFBgAAAAAEAAQA+QAAAJADAAAAAA==&#10;" strokeweight=".5pt">
                        <v:stroke startarrow="block"/>
                      </v:line>
                      <v:line id="Line 4" o:spid="_x0000_s1028" style="position:absolute;flip:x;visibility:visible;mso-wrap-style:square" from="5891,1535" to="10426,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DnGsIAAADaAAAADwAAAGRycy9kb3ducmV2LnhtbESPS4sCMRCE74L/IbSwN83oQXTWjKgg&#10;elgWHyt4bCY9D5x0hiTq+O83wsIei6r6ilosO9OIBzlfW1YwHiUgiHOray4V/Jy3wxkIH5A1NpZJ&#10;wYs8LLN+b4Gptk8+0uMUShEh7FNUUIXQplL6vCKDfmRb4ugV1hkMUbpSaofPCDeNnCTJVBqsOS5U&#10;2NKmovx2uhsFWBbJ99Ye9PrwdZ2sgru8dvOLUh+DbvUJIlAX/sN/7b1WMIX3lXgDZP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DnGsIAAADaAAAADwAAAAAAAAAAAAAA&#10;AAChAgAAZHJzL2Rvd25yZXYueG1sUEsFBgAAAAAEAAQA+QAAAJADAAAAAA==&#10;" strokeweight=".5pt">
                        <v:stroke startarrow="block"/>
                      </v:line>
                    </v:group>
                  </w:pict>
                </mc:Fallback>
              </mc:AlternateContent>
            </w:r>
            <w:r w:rsidR="00E90D05" w:rsidRPr="00142385">
              <w:t>85mm</w:t>
            </w:r>
          </w:p>
        </w:tc>
        <w:tc>
          <w:tcPr>
            <w:tcW w:w="836" w:type="dxa"/>
            <w:tcBorders>
              <w:top w:val="nil"/>
              <w:right w:val="nil"/>
            </w:tcBorders>
            <w:vAlign w:val="center"/>
          </w:tcPr>
          <w:p w14:paraId="51B9278D" w14:textId="77777777" w:rsidR="00E90D05" w:rsidRPr="00142385" w:rsidRDefault="00E90D05">
            <w:r w:rsidRPr="00142385">
              <w:rPr>
                <w:rFonts w:hint="eastAsia"/>
              </w:rPr>
              <w:t xml:space="preserve">　</w:t>
            </w:r>
          </w:p>
        </w:tc>
      </w:tr>
      <w:tr w:rsidR="00142385" w:rsidRPr="00142385" w14:paraId="38FDC538" w14:textId="77777777">
        <w:trPr>
          <w:cantSplit/>
          <w:trHeight w:val="1800"/>
        </w:trPr>
        <w:tc>
          <w:tcPr>
            <w:tcW w:w="5520" w:type="dxa"/>
            <w:vMerge w:val="restart"/>
            <w:tcBorders>
              <w:right w:val="nil"/>
            </w:tcBorders>
          </w:tcPr>
          <w:p w14:paraId="7888F1D3" w14:textId="77777777" w:rsidR="00B1053D" w:rsidRPr="00142385" w:rsidRDefault="00B1053D" w:rsidP="00E8378A">
            <w:r w:rsidRPr="00142385">
              <w:rPr>
                <w:noProof/>
              </w:rPr>
              <mc:AlternateContent>
                <mc:Choice Requires="wpg">
                  <w:drawing>
                    <wp:anchor distT="0" distB="0" distL="114300" distR="114300" simplePos="0" relativeHeight="251660288" behindDoc="0" locked="0" layoutInCell="0" allowOverlap="1" wp14:anchorId="19F3E7C2" wp14:editId="3D0EBD9E">
                      <wp:simplePos x="0" y="0"/>
                      <wp:positionH relativeFrom="column">
                        <wp:posOffset>6503035</wp:posOffset>
                      </wp:positionH>
                      <wp:positionV relativeFrom="paragraph">
                        <wp:posOffset>2540</wp:posOffset>
                      </wp:positionV>
                      <wp:extent cx="0" cy="484060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840605"/>
                                <a:chOff x="10853" y="1839"/>
                                <a:chExt cx="0" cy="7623"/>
                              </a:xfrm>
                            </wpg:grpSpPr>
                            <wps:wsp>
                              <wps:cNvPr id="2" name="Line 6"/>
                              <wps:cNvCnPr/>
                              <wps:spPr bwMode="auto">
                                <a:xfrm>
                                  <a:off x="10853" y="1839"/>
                                  <a:ext cx="0" cy="3402"/>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7"/>
                              <wps:cNvCnPr/>
                              <wps:spPr bwMode="auto">
                                <a:xfrm flipV="1">
                                  <a:off x="10853" y="6060"/>
                                  <a:ext cx="0" cy="3402"/>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6E24E4" id="Group 5" o:spid="_x0000_s1026" style="position:absolute;left:0;text-align:left;margin-left:512.05pt;margin-top:.2pt;width:0;height:381.15pt;z-index:251660288" coordorigin="10853,1839" coordsize="0,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" o:allowincell="f">
                      <v:line id="Line 6" o:spid="_x0000_s1027" style="position:absolute;visibility:visible;mso-wrap-style:square" from="10853,1839" to="10853,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4sncIAAADaAAAADwAAAGRycy9kb3ducmV2LnhtbESPQWvCQBSE7wX/w/IEb81GpUWiqwRB&#10;7E0ac/H22H0mwezbsLtq2l/fLRR6HGbmG2azG20vHuRD51jBPMtBEGtnOm4U1OfD6wpEiMgGe8ek&#10;4IsC7LaTlw0Wxj35kx5VbESCcChQQRvjUEgZdEsWQ+YG4uRdnbcYk/SNNB6fCW57ucjzd2mx47TQ&#10;4kD7lvStulsF5bKq9fexPHg+70/5vbx0/elNqdl0LNcgIo3xP/zX/jAKFvB7Jd0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4sncIAAADaAAAADwAAAAAAAAAAAAAA&#10;AAChAgAAZHJzL2Rvd25yZXYueG1sUEsFBgAAAAAEAAQA+QAAAJADAAAAAA==&#10;" strokeweight=".5pt">
                        <v:stroke startarrow="block"/>
                      </v:line>
                      <v:line id="Line 7" o:spid="_x0000_s1028" style="position:absolute;flip:y;visibility:visible;mso-wrap-style:square" from="10853,6060" to="10853,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EgsQAAADaAAAADwAAAGRycy9kb3ducmV2LnhtbESPT2vCQBTE74LfYXmF3nRTC0VTV9FC&#10;aA9FNFbo8ZF9JqHZt2F3mz/f3i0UPA4z8xtmvR1MIzpyvras4GmegCAurK65VPB1zmZLED4ga2ws&#10;k4KRPGw308kaU217PlGXh1JECPsUFVQhtKmUvqjIoJ/bljh6V+sMhihdKbXDPsJNIxdJ8iIN1hwX&#10;KmzpraLiJ/81CrC8JofMHvX++Pm92AV3Gd9XF6UeH4bdK4hAQ7iH/9sfWsEz/F2JN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V0SCxAAAANoAAAAPAAAAAAAAAAAA&#10;AAAAAKECAABkcnMvZG93bnJldi54bWxQSwUGAAAAAAQABAD5AAAAkgMAAAAA&#10;" strokeweight=".5pt">
                        <v:stroke startarrow="block"/>
                      </v:line>
                    </v:group>
                  </w:pict>
                </mc:Fallback>
              </mc:AlternateContent>
            </w:r>
          </w:p>
          <w:p w14:paraId="38B21ED1" w14:textId="77777777" w:rsidR="00B1053D" w:rsidRPr="00142385" w:rsidRDefault="00B1053D" w:rsidP="00E8378A"/>
          <w:p w14:paraId="245518CF" w14:textId="77777777" w:rsidR="00B1053D" w:rsidRPr="00142385" w:rsidRDefault="00B1053D" w:rsidP="00E8378A">
            <w:r w:rsidRPr="00142385">
              <w:rPr>
                <w:rFonts w:hint="eastAsia"/>
              </w:rPr>
              <w:t>第　　　　　号</w:t>
            </w:r>
          </w:p>
          <w:p w14:paraId="6FA591B7" w14:textId="77777777" w:rsidR="00B1053D" w:rsidRPr="00142385" w:rsidRDefault="00B1053D" w:rsidP="00E8378A"/>
          <w:p w14:paraId="3DD4157D" w14:textId="77777777" w:rsidR="00B1053D" w:rsidRPr="00142385" w:rsidRDefault="00B1053D" w:rsidP="00E8378A"/>
          <w:p w14:paraId="0C492791" w14:textId="77777777" w:rsidR="00B1053D" w:rsidRPr="00142385" w:rsidRDefault="00B1053D" w:rsidP="00E8378A"/>
          <w:p w14:paraId="6D7FA044" w14:textId="77777777" w:rsidR="00B1053D" w:rsidRPr="00142385" w:rsidRDefault="00B1053D" w:rsidP="00E8378A">
            <w:pPr>
              <w:ind w:leftChars="50" w:left="105" w:rightChars="50" w:right="105"/>
            </w:pPr>
            <w:r w:rsidRPr="00142385">
              <w:rPr>
                <w:rFonts w:hint="eastAsia"/>
              </w:rPr>
              <w:t>医薬品、医療機器等の品質、有効性及び安全性の確保等に関する法律第69条の2第1項の規定に基づいて立入検査、質問又は収去を行う独立行政法人医薬品医療機器総合機構の職員であることの証明書</w:t>
            </w:r>
          </w:p>
          <w:p w14:paraId="5434528E" w14:textId="77777777" w:rsidR="00B1053D" w:rsidRPr="00142385" w:rsidRDefault="00B1053D" w:rsidP="00E8378A"/>
          <w:p w14:paraId="764FE32E" w14:textId="77777777" w:rsidR="00B1053D" w:rsidRPr="00142385" w:rsidRDefault="00B1053D" w:rsidP="00E8378A"/>
          <w:p w14:paraId="71CB547E" w14:textId="77777777" w:rsidR="00B1053D" w:rsidRPr="00142385" w:rsidRDefault="00B1053D" w:rsidP="00E8378A">
            <w:r w:rsidRPr="00142385">
              <w:rPr>
                <w:rFonts w:hint="eastAsia"/>
              </w:rPr>
              <w:t xml:space="preserve">　職　名</w:t>
            </w:r>
          </w:p>
          <w:p w14:paraId="20755E7C" w14:textId="77777777" w:rsidR="00B1053D" w:rsidRPr="00142385" w:rsidRDefault="00B1053D" w:rsidP="00E8378A"/>
          <w:p w14:paraId="51B68680" w14:textId="77777777" w:rsidR="00B1053D" w:rsidRPr="00142385" w:rsidRDefault="00B1053D" w:rsidP="00E8378A">
            <w:r w:rsidRPr="00142385">
              <w:rPr>
                <w:rFonts w:hint="eastAsia"/>
              </w:rPr>
              <w:t xml:space="preserve">　</w:t>
            </w:r>
            <w:r w:rsidRPr="00142385">
              <w:rPr>
                <w:rFonts w:hint="eastAsia"/>
                <w:spacing w:val="105"/>
              </w:rPr>
              <w:t>氏</w:t>
            </w:r>
            <w:r w:rsidRPr="00142385">
              <w:rPr>
                <w:rFonts w:hint="eastAsia"/>
              </w:rPr>
              <w:t>名</w:t>
            </w:r>
          </w:p>
          <w:p w14:paraId="6252B2F7" w14:textId="77777777" w:rsidR="00B1053D" w:rsidRPr="00142385" w:rsidRDefault="00B1053D" w:rsidP="00E8378A"/>
          <w:p w14:paraId="19A89F1A" w14:textId="77777777" w:rsidR="00B1053D" w:rsidRPr="00142385" w:rsidRDefault="00B1053D" w:rsidP="00E8378A"/>
          <w:p w14:paraId="74EC551A" w14:textId="77777777" w:rsidR="00B1053D" w:rsidRPr="00142385" w:rsidRDefault="00B1053D" w:rsidP="00E8378A">
            <w:r w:rsidRPr="00142385">
              <w:rPr>
                <w:rFonts w:hint="eastAsia"/>
              </w:rPr>
              <w:t xml:space="preserve">　　　　　　　　　　　　年　　　月　　　日生</w:t>
            </w:r>
          </w:p>
          <w:p w14:paraId="2989AA2D" w14:textId="77777777" w:rsidR="00B1053D" w:rsidRPr="00142385" w:rsidRDefault="00B1053D" w:rsidP="00E8378A"/>
          <w:p w14:paraId="21525133" w14:textId="77777777" w:rsidR="00B1053D" w:rsidRPr="00142385" w:rsidRDefault="00B1053D" w:rsidP="00E8378A">
            <w:r w:rsidRPr="00142385">
              <w:rPr>
                <w:rFonts w:hint="eastAsia"/>
              </w:rPr>
              <w:t xml:space="preserve">　　　　　年　　　月　　　日発行</w:t>
            </w:r>
          </w:p>
          <w:p w14:paraId="6E01C4A0" w14:textId="77777777" w:rsidR="00B1053D" w:rsidRPr="00142385" w:rsidRDefault="00B1053D" w:rsidP="00E8378A"/>
          <w:p w14:paraId="54E129AE" w14:textId="77777777" w:rsidR="00B1053D" w:rsidRPr="00142385" w:rsidRDefault="00B1053D" w:rsidP="00E8378A"/>
          <w:p w14:paraId="5D08E647" w14:textId="77777777" w:rsidR="00B1053D" w:rsidRPr="00142385" w:rsidRDefault="00B1053D" w:rsidP="00E8378A"/>
          <w:p w14:paraId="39772B7A" w14:textId="77777777" w:rsidR="00B1053D" w:rsidRPr="00142385" w:rsidRDefault="00B1053D" w:rsidP="00E8378A">
            <w:pPr>
              <w:spacing w:line="420" w:lineRule="auto"/>
              <w:ind w:left="210" w:right="1026" w:hanging="23"/>
              <w:jc w:val="distribute"/>
            </w:pPr>
            <w:r w:rsidRPr="00142385">
              <w:rPr>
                <w:rFonts w:hint="eastAsia"/>
              </w:rPr>
              <w:t>独立行政法人医薬品医療機器総合</w:t>
            </w:r>
          </w:p>
          <w:p w14:paraId="2BCBC090" w14:textId="77777777" w:rsidR="00B1053D" w:rsidRPr="00142385" w:rsidRDefault="00B1053D" w:rsidP="00E8378A">
            <w:pPr>
              <w:spacing w:line="540" w:lineRule="auto"/>
              <w:ind w:left="210" w:right="1026" w:hanging="23"/>
              <w:jc w:val="distribute"/>
            </w:pPr>
            <w:r w:rsidRPr="00142385">
              <w:rPr>
                <w:rFonts w:hint="eastAsia"/>
              </w:rPr>
              <w:t>機構理事長　　　　印</w:t>
            </w:r>
          </w:p>
        </w:tc>
        <w:tc>
          <w:tcPr>
            <w:tcW w:w="4303" w:type="dxa"/>
            <w:gridSpan w:val="3"/>
            <w:tcBorders>
              <w:left w:val="nil"/>
              <w:bottom w:val="nil"/>
            </w:tcBorders>
            <w:vAlign w:val="center"/>
          </w:tcPr>
          <w:p w14:paraId="42A7149A" w14:textId="77777777" w:rsidR="00B1053D" w:rsidRPr="00142385" w:rsidRDefault="00B1053D">
            <w:r w:rsidRPr="00142385">
              <w:rPr>
                <w:rFonts w:hint="eastAsia"/>
              </w:rPr>
              <w:t xml:space="preserve">　</w:t>
            </w:r>
          </w:p>
        </w:tc>
        <w:tc>
          <w:tcPr>
            <w:tcW w:w="836" w:type="dxa"/>
            <w:vMerge w:val="restart"/>
            <w:tcBorders>
              <w:right w:val="nil"/>
            </w:tcBorders>
            <w:vAlign w:val="center"/>
          </w:tcPr>
          <w:p w14:paraId="1ECE2BF1" w14:textId="77777777" w:rsidR="00B1053D" w:rsidRPr="00142385" w:rsidRDefault="00B1053D">
            <w:pPr>
              <w:jc w:val="center"/>
            </w:pPr>
            <w:r w:rsidRPr="00142385">
              <w:t>53</w:t>
            </w:r>
          </w:p>
          <w:p w14:paraId="667887C7" w14:textId="77777777" w:rsidR="00B1053D" w:rsidRPr="00142385" w:rsidRDefault="00B1053D">
            <w:pPr>
              <w:jc w:val="center"/>
            </w:pPr>
            <w:r w:rsidRPr="00142385">
              <w:t>mm</w:t>
            </w:r>
          </w:p>
        </w:tc>
      </w:tr>
      <w:tr w:rsidR="00142385" w:rsidRPr="00142385" w14:paraId="0498F7CF" w14:textId="77777777">
        <w:trPr>
          <w:cantSplit/>
          <w:trHeight w:val="3800"/>
        </w:trPr>
        <w:tc>
          <w:tcPr>
            <w:tcW w:w="5520" w:type="dxa"/>
            <w:vMerge/>
            <w:tcBorders>
              <w:bottom w:val="nil"/>
              <w:right w:val="nil"/>
            </w:tcBorders>
            <w:vAlign w:val="center"/>
          </w:tcPr>
          <w:p w14:paraId="7A83CCB5" w14:textId="77777777" w:rsidR="00E90D05" w:rsidRPr="00142385" w:rsidRDefault="00E90D05"/>
        </w:tc>
        <w:tc>
          <w:tcPr>
            <w:tcW w:w="675" w:type="dxa"/>
            <w:tcBorders>
              <w:top w:val="nil"/>
              <w:left w:val="nil"/>
              <w:bottom w:val="nil"/>
            </w:tcBorders>
            <w:vAlign w:val="center"/>
          </w:tcPr>
          <w:p w14:paraId="2D513404" w14:textId="77777777" w:rsidR="00E90D05" w:rsidRPr="00142385" w:rsidRDefault="00E90D05">
            <w:r w:rsidRPr="00142385">
              <w:rPr>
                <w:rFonts w:hint="eastAsia"/>
              </w:rPr>
              <w:t xml:space="preserve">　</w:t>
            </w:r>
          </w:p>
        </w:tc>
        <w:tc>
          <w:tcPr>
            <w:tcW w:w="3001" w:type="dxa"/>
            <w:textDirection w:val="tbRlV"/>
            <w:vAlign w:val="center"/>
          </w:tcPr>
          <w:p w14:paraId="1F454576" w14:textId="77777777" w:rsidR="00E90D05" w:rsidRPr="00142385" w:rsidRDefault="00E90D05">
            <w:pPr>
              <w:ind w:left="113" w:right="113"/>
              <w:jc w:val="center"/>
            </w:pPr>
            <w:r w:rsidRPr="00142385">
              <w:rPr>
                <w:rFonts w:hint="eastAsia"/>
                <w:spacing w:val="420"/>
              </w:rPr>
              <w:t>写</w:t>
            </w:r>
            <w:r w:rsidRPr="00142385">
              <w:rPr>
                <w:rFonts w:hint="eastAsia"/>
              </w:rPr>
              <w:t>真</w:t>
            </w:r>
          </w:p>
        </w:tc>
        <w:tc>
          <w:tcPr>
            <w:tcW w:w="627" w:type="dxa"/>
            <w:tcBorders>
              <w:top w:val="nil"/>
              <w:bottom w:val="nil"/>
            </w:tcBorders>
            <w:vAlign w:val="center"/>
          </w:tcPr>
          <w:p w14:paraId="3F8688B3" w14:textId="77777777" w:rsidR="00E90D05" w:rsidRPr="00142385" w:rsidRDefault="00E90D05">
            <w:r w:rsidRPr="00142385">
              <w:rPr>
                <w:rFonts w:hint="eastAsia"/>
              </w:rPr>
              <w:t xml:space="preserve">　</w:t>
            </w:r>
          </w:p>
        </w:tc>
        <w:tc>
          <w:tcPr>
            <w:tcW w:w="836" w:type="dxa"/>
            <w:vMerge/>
            <w:tcBorders>
              <w:right w:val="nil"/>
            </w:tcBorders>
            <w:vAlign w:val="center"/>
          </w:tcPr>
          <w:p w14:paraId="273703C9" w14:textId="77777777" w:rsidR="00E90D05" w:rsidRPr="00142385" w:rsidRDefault="00E90D05">
            <w:pPr>
              <w:jc w:val="left"/>
            </w:pPr>
          </w:p>
        </w:tc>
      </w:tr>
      <w:tr w:rsidR="00142385" w:rsidRPr="00142385" w14:paraId="307DB7DC" w14:textId="77777777">
        <w:trPr>
          <w:cantSplit/>
          <w:trHeight w:val="2000"/>
        </w:trPr>
        <w:tc>
          <w:tcPr>
            <w:tcW w:w="5520" w:type="dxa"/>
            <w:vMerge/>
            <w:tcBorders>
              <w:top w:val="nil"/>
              <w:right w:val="nil"/>
            </w:tcBorders>
            <w:vAlign w:val="center"/>
          </w:tcPr>
          <w:p w14:paraId="7B67861B" w14:textId="77777777" w:rsidR="00E90D05" w:rsidRPr="00142385" w:rsidRDefault="00E90D05"/>
        </w:tc>
        <w:tc>
          <w:tcPr>
            <w:tcW w:w="4303" w:type="dxa"/>
            <w:gridSpan w:val="3"/>
            <w:tcBorders>
              <w:top w:val="nil"/>
              <w:left w:val="nil"/>
            </w:tcBorders>
            <w:vAlign w:val="center"/>
          </w:tcPr>
          <w:p w14:paraId="4D90A5B4" w14:textId="77777777" w:rsidR="00E90D05" w:rsidRPr="00142385" w:rsidRDefault="00E90D05">
            <w:r w:rsidRPr="00142385">
              <w:rPr>
                <w:rFonts w:hint="eastAsia"/>
              </w:rPr>
              <w:t xml:space="preserve">　</w:t>
            </w:r>
          </w:p>
        </w:tc>
        <w:tc>
          <w:tcPr>
            <w:tcW w:w="836" w:type="dxa"/>
            <w:vMerge/>
            <w:tcBorders>
              <w:right w:val="nil"/>
            </w:tcBorders>
            <w:vAlign w:val="center"/>
          </w:tcPr>
          <w:p w14:paraId="4131D9CF" w14:textId="77777777" w:rsidR="00E90D05" w:rsidRPr="00142385" w:rsidRDefault="00E90D05"/>
        </w:tc>
      </w:tr>
    </w:tbl>
    <w:p w14:paraId="62034EB5" w14:textId="77777777" w:rsidR="00E90D05" w:rsidRPr="00142385" w:rsidRDefault="00E90D05"/>
    <w:p w14:paraId="33EF6326" w14:textId="77777777" w:rsidR="00E90D05" w:rsidRPr="00142385" w:rsidRDefault="00E90D05">
      <w:pPr>
        <w:spacing w:line="100" w:lineRule="exact"/>
        <w:sectPr w:rsidR="00E90D05" w:rsidRPr="00142385">
          <w:footerReference w:type="even" r:id="rId8"/>
          <w:pgSz w:w="11907" w:h="16840" w:code="9"/>
          <w:pgMar w:top="1701" w:right="612" w:bottom="1701" w:left="612" w:header="284" w:footer="284" w:gutter="0"/>
          <w:cols w:space="425"/>
          <w:docGrid w:type="linesAndChars" w:linePitch="334" w:charSpace="-109"/>
        </w:sectPr>
      </w:pPr>
    </w:p>
    <w:p w14:paraId="01BB8A24" w14:textId="77777777" w:rsidR="00121293" w:rsidRPr="00142385" w:rsidRDefault="00121293" w:rsidP="00121293">
      <w:pPr>
        <w:jc w:val="center"/>
      </w:pPr>
      <w:r w:rsidRPr="00142385">
        <w:rPr>
          <w:rFonts w:hint="eastAsia"/>
        </w:rPr>
        <w:lastRenderedPageBreak/>
        <w:t>第</w:t>
      </w:r>
      <w:r w:rsidRPr="00142385">
        <w:t>2</w:t>
      </w:r>
      <w:r w:rsidRPr="00142385">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142385" w:rsidRPr="00142385" w14:paraId="787C2640" w14:textId="77777777" w:rsidTr="00367CC6">
        <w:trPr>
          <w:cantSplit/>
          <w:trHeight w:val="7600"/>
        </w:trPr>
        <w:tc>
          <w:tcPr>
            <w:tcW w:w="10773" w:type="dxa"/>
          </w:tcPr>
          <w:p w14:paraId="12AF38AF" w14:textId="77777777" w:rsidR="00121293" w:rsidRPr="00142385" w:rsidRDefault="00121293" w:rsidP="007C0B2A"/>
          <w:p w14:paraId="671E4E7E" w14:textId="6320453C" w:rsidR="00121293" w:rsidRPr="00142385" w:rsidRDefault="00E71AE7" w:rsidP="007C0B2A">
            <w:pPr>
              <w:spacing w:line="294" w:lineRule="exact"/>
            </w:pPr>
            <w:r w:rsidRPr="00142385">
              <w:rPr>
                <w:rFonts w:hint="eastAsia"/>
              </w:rPr>
              <w:t>医薬品、医療機器等の品質、有効性及び安全性の確保等に関する法律</w:t>
            </w:r>
            <w:r w:rsidR="00121293" w:rsidRPr="00142385">
              <w:t>(</w:t>
            </w:r>
            <w:r w:rsidR="00121293" w:rsidRPr="00142385">
              <w:rPr>
                <w:rFonts w:hint="eastAsia"/>
              </w:rPr>
              <w:t>昭和</w:t>
            </w:r>
            <w:r w:rsidR="00121293" w:rsidRPr="00142385">
              <w:t>35</w:t>
            </w:r>
            <w:r w:rsidR="00121293" w:rsidRPr="00142385">
              <w:rPr>
                <w:rFonts w:hint="eastAsia"/>
              </w:rPr>
              <w:t>年法律第</w:t>
            </w:r>
            <w:r w:rsidR="00121293" w:rsidRPr="00142385">
              <w:t>145</w:t>
            </w:r>
            <w:r w:rsidR="00121293" w:rsidRPr="00142385">
              <w:rPr>
                <w:rFonts w:hint="eastAsia"/>
              </w:rPr>
              <w:t>号</w:t>
            </w:r>
            <w:r w:rsidR="00121293" w:rsidRPr="00142385">
              <w:t>)</w:t>
            </w:r>
            <w:r w:rsidR="002B5C45" w:rsidRPr="00142385">
              <w:rPr>
                <w:rFonts w:hint="eastAsia"/>
              </w:rPr>
              <w:t>抜粋</w:t>
            </w:r>
          </w:p>
          <w:p w14:paraId="10B61C1B" w14:textId="77777777" w:rsidR="00121293" w:rsidRPr="00142385" w:rsidRDefault="00121293" w:rsidP="00927611">
            <w:pPr>
              <w:spacing w:line="294" w:lineRule="exact"/>
              <w:ind w:firstLineChars="50" w:firstLine="99"/>
            </w:pPr>
            <w:r w:rsidRPr="00142385">
              <w:t>(</w:t>
            </w:r>
            <w:r w:rsidRPr="00142385">
              <w:rPr>
                <w:rFonts w:hint="eastAsia"/>
              </w:rPr>
              <w:t>立入検査等</w:t>
            </w:r>
            <w:r w:rsidRPr="00142385">
              <w:t>)</w:t>
            </w:r>
          </w:p>
          <w:p w14:paraId="3560F39A" w14:textId="4CEC72FB" w:rsidR="00121293" w:rsidRPr="00142385" w:rsidRDefault="00247B77" w:rsidP="00367CC6">
            <w:pPr>
              <w:wordWrap/>
              <w:spacing w:line="294" w:lineRule="exact"/>
              <w:ind w:left="99" w:hangingChars="50" w:hanging="99"/>
            </w:pPr>
            <w:r w:rsidRPr="00142385">
              <w:rPr>
                <w:rFonts w:hint="eastAsia"/>
              </w:rPr>
              <w:t>第69条 厚生労働大臣又は都道府県知事は、医薬品、医薬部外品、化粧品、医療機器若しくは再生医療等製品の製造販売業者若しくは製造業者、医療機器の修理業者、第18条第3項、第23条の2の15第3項、第23条の35第3項、第68条の5第4項、第68条の7第6項若しくは第68条の22第6項の委託を受けた者又は第80条の6第1項の登録を受けた者</w:t>
            </w:r>
            <w:r w:rsidR="002B46DC" w:rsidRPr="00142385">
              <w:rPr>
                <w:rFonts w:hint="eastAsia"/>
              </w:rPr>
              <w:t>（</w:t>
            </w:r>
            <w:r w:rsidRPr="00142385">
              <w:rPr>
                <w:rFonts w:hint="eastAsia"/>
              </w:rPr>
              <w:t>以下この項において「製造販売業者等」という。）が、第12条の2、第13条第4項（同条第7項において準用する場合を含む。）、第14条第2項、第9項若しくは第10項、第14条の3第2項、第14条の9、第17条、第18条第1項若しくは第2項、第19条、第23条、第23条の2の2、第23条の2の3第4項、第23条の2の5第2項、第11項若しくは第12項、第23条の2の8第2項、第23条の2の12、第23条の2の14（第40条の3において準用する場合を含む。）、第23条の2の15第1項若しくは第2項（第40条の3において準用する場合を含む。）、第23条の2の16（第40条の3において準用する場合を含む。）、第23条の2の22（第40条の3において準用する場合を含む。）、第23条の21、第23条の22第4項（同条第7項において準用する場合を含む。）、第23条の25第2項、第9項若しくは第10項、第23条の28第2項、第23条の34、第23条の35第1項若しくは第2項、第23条の36、第23条の42、第40条の2第4項（同条第6項において準用する場合を含む。）、第40条の4、第46条第1項若しくは第4項、第58条、第68条の2第1項若しくは第2項、第68条の5第1項若しくは第4項から第6項まで、第68条の7第1項若しくは第6項から第8項まで、第68条の9、第68条の10第1項、第68条の11、第68条の14第1項、第68条の16、第68条の22第1項若しくは第6項から第8項まで、第68条の24第1項、第80条第1項から第3</w:t>
            </w:r>
            <w:r w:rsidR="005E1F46">
              <w:rPr>
                <w:rFonts w:hint="eastAsia"/>
              </w:rPr>
              <w:t>項まで</w:t>
            </w:r>
            <w:r w:rsidR="00532B99">
              <w:rPr>
                <w:rFonts w:hint="eastAsia"/>
              </w:rPr>
              <w:t>若しくは第7項</w:t>
            </w:r>
            <w:r w:rsidRPr="00142385">
              <w:rPr>
                <w:rFonts w:hint="eastAsia"/>
              </w:rPr>
              <w:t>、第80条の8若しくは第80条の9第1項の規定又は第71条、第72条第1項から第3項まで、第72条の4、第73条、第75条第1項若しくは第75条の2第1項に基づく命令を遵守しているかどうかを確かめるために必要があると認めるときは、当該製造販売業者等に対して、厚生労働省令で定めるところにより必要な報告をさせ、又は当該職員に、工場、事務所その他当該製造販売業者等が医薬品、医薬部外品、化粧品、医療機器若しくは再生医療等製品を業務上取り扱う場所に立ち入り、その構造設備若しくは帳簿書類その他の物件を検査させ、若しくは従業員その他の関係者に質問させることができる。</w:t>
            </w:r>
          </w:p>
          <w:p w14:paraId="636E32D6" w14:textId="77777777" w:rsidR="00B04405" w:rsidRPr="00142385" w:rsidRDefault="00B1053D" w:rsidP="00367CC6">
            <w:pPr>
              <w:wordWrap/>
              <w:spacing w:line="294" w:lineRule="exact"/>
              <w:ind w:left="99" w:hangingChars="50" w:hanging="99"/>
            </w:pPr>
            <w:r w:rsidRPr="00142385">
              <w:rPr>
                <w:rFonts w:hint="eastAsia"/>
              </w:rPr>
              <w:t>2・3　（略）</w:t>
            </w:r>
          </w:p>
          <w:p w14:paraId="15A1180F" w14:textId="77777777" w:rsidR="00B1053D" w:rsidRPr="00142385" w:rsidRDefault="007116F7" w:rsidP="007116F7">
            <w:pPr>
              <w:wordWrap/>
              <w:spacing w:line="294" w:lineRule="exact"/>
              <w:ind w:left="99" w:hangingChars="50" w:hanging="99"/>
              <w:rPr>
                <w:spacing w:val="2"/>
              </w:rPr>
            </w:pPr>
            <w:r w:rsidRPr="00142385">
              <w:t>4</w:t>
            </w:r>
            <w:r w:rsidRPr="00142385">
              <w:rPr>
                <w:rFonts w:hint="eastAsia"/>
              </w:rPr>
              <w:t xml:space="preserve">　厚生労働大臣、都道府県知事、保健所を設置する市の市長又は特別区の区長は、前3項に定めるもののほか必要があると認めるときは、薬局開設者、病院、診療所若しくは飼育動物診療施設の開設者、医薬品、医薬部外品、化粧品、医療機器若しくは再生医療等製品の製造販売業者、製造業者若しくは販売業者、医療機器の貸与業者若しくは修理業者、</w:t>
            </w:r>
          </w:p>
          <w:p w14:paraId="6024A288" w14:textId="77777777" w:rsidR="00121293" w:rsidRPr="00142385" w:rsidRDefault="00121293" w:rsidP="00820B29">
            <w:pPr>
              <w:spacing w:line="294" w:lineRule="exact"/>
              <w:ind w:left="105" w:hanging="105"/>
            </w:pPr>
          </w:p>
        </w:tc>
      </w:tr>
    </w:tbl>
    <w:p w14:paraId="4DD46633" w14:textId="77777777" w:rsidR="00121293" w:rsidRPr="00142385" w:rsidRDefault="00121293" w:rsidP="00121293"/>
    <w:p w14:paraId="6861A398" w14:textId="77777777" w:rsidR="00121293" w:rsidRPr="00142385" w:rsidRDefault="00121293" w:rsidP="00121293">
      <w:pPr>
        <w:sectPr w:rsidR="00121293" w:rsidRPr="00142385" w:rsidSect="00AE763F">
          <w:footerReference w:type="even" r:id="rId9"/>
          <w:pgSz w:w="11907" w:h="16840" w:code="9"/>
          <w:pgMar w:top="1701" w:right="612" w:bottom="1701" w:left="612" w:header="284" w:footer="284" w:gutter="0"/>
          <w:cols w:space="425"/>
          <w:docGrid w:type="linesAndChars" w:linePitch="334" w:charSpace="-2492"/>
        </w:sectPr>
      </w:pPr>
    </w:p>
    <w:p w14:paraId="04CDDBBC" w14:textId="77777777" w:rsidR="00121293" w:rsidRPr="00142385" w:rsidRDefault="00121293" w:rsidP="00121293">
      <w:pPr>
        <w:jc w:val="center"/>
      </w:pPr>
      <w:r w:rsidRPr="00142385">
        <w:rPr>
          <w:rFonts w:hint="eastAsia"/>
        </w:rPr>
        <w:lastRenderedPageBreak/>
        <w:t>第</w:t>
      </w:r>
      <w:r w:rsidRPr="00142385">
        <w:t>3</w:t>
      </w:r>
      <w:r w:rsidRPr="00142385">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142385" w:rsidRPr="00142385" w14:paraId="2BE8E3EF" w14:textId="77777777" w:rsidTr="00367CC6">
        <w:trPr>
          <w:cantSplit/>
          <w:trHeight w:val="7600"/>
        </w:trPr>
        <w:tc>
          <w:tcPr>
            <w:tcW w:w="10773" w:type="dxa"/>
          </w:tcPr>
          <w:p w14:paraId="687362C8" w14:textId="77777777" w:rsidR="00121293" w:rsidRPr="00142385" w:rsidRDefault="00121293" w:rsidP="007C0B2A"/>
          <w:p w14:paraId="2DA1884C" w14:textId="77777777" w:rsidR="007116F7" w:rsidRPr="00142385" w:rsidRDefault="00B04405" w:rsidP="007116F7">
            <w:pPr>
              <w:wordWrap/>
              <w:spacing w:line="294" w:lineRule="exact"/>
              <w:ind w:leftChars="50" w:left="99"/>
            </w:pPr>
            <w:r w:rsidRPr="00142385">
              <w:rPr>
                <w:rFonts w:hint="eastAsia"/>
              </w:rPr>
              <w:t>第80条の6第1項の登録を受けた者その他医薬品、医薬部外品、化粧品、医療機器若しくは再生医療等製品を業務上取り扱う者又は第18条第3項、第23条の2の15第3項、第23条の35第3項、第68条の5第4項、第68条の7第6項若しくは第68条の22第6項の委託を受けた者に対して、厚生労働省令で定めるところにより必要な報告をさせ、又</w:t>
            </w:r>
            <w:r w:rsidR="00AE763F" w:rsidRPr="00142385">
              <w:rPr>
                <w:rFonts w:hint="eastAsia"/>
              </w:rPr>
              <w:t>は当該職員に、</w:t>
            </w:r>
            <w:r w:rsidR="00367CC6" w:rsidRPr="00142385">
              <w:rPr>
                <w:rFonts w:hint="eastAsia"/>
              </w:rPr>
              <w:t>薬局、</w:t>
            </w:r>
            <w:r w:rsidR="007116F7" w:rsidRPr="00142385">
              <w:rPr>
                <w:rFonts w:hint="eastAsia"/>
              </w:rPr>
              <w:t>病院、診療所、飼育動物診療施設、工場、店舗、事務所その他医薬品、医薬部外品、化粧品、医療機器若しくは再生医療等製品を業務上取り扱う場所に立ち入り、その構造設備若しくは帳簿書類その他の物件を検査させ、従業員その他の関係者に質問させ、若しくは第70条第1項に規定する物に該当する疑いのある物を、試験のため必要な最少分量に限り、収去させることができる。</w:t>
            </w:r>
          </w:p>
          <w:p w14:paraId="28F685D5" w14:textId="0A050564" w:rsidR="00336C83" w:rsidRPr="00142385" w:rsidRDefault="007116F7" w:rsidP="007116F7">
            <w:pPr>
              <w:spacing w:line="294" w:lineRule="exact"/>
              <w:ind w:left="105" w:hanging="105"/>
            </w:pPr>
            <w:r w:rsidRPr="00142385">
              <w:t>5</w:t>
            </w:r>
            <w:r w:rsidR="00336C83" w:rsidRPr="00142385">
              <w:rPr>
                <w:rFonts w:hint="eastAsia"/>
              </w:rPr>
              <w:t xml:space="preserve">　</w:t>
            </w:r>
            <w:r w:rsidR="00336C83" w:rsidRPr="00142385">
              <w:rPr>
                <w:rFonts w:hint="eastAsia"/>
                <w:szCs w:val="27"/>
              </w:rPr>
              <w:t>厚生労働大臣又は都道府県知事は、必要があると認めるときは、登録認証機関に対して、基準適合性認証の業務又は経理の状況に関し、報告をさせ、又は当該職員に、登録認証機関の事務所に立ち入り、帳簿書類その他の物件を検査させ、若しくは関係者に質問させることができる。</w:t>
            </w:r>
          </w:p>
          <w:p w14:paraId="1478F507" w14:textId="77777777" w:rsidR="007116F7" w:rsidRPr="00142385" w:rsidRDefault="007116F7" w:rsidP="007116F7">
            <w:pPr>
              <w:spacing w:line="294" w:lineRule="exact"/>
              <w:ind w:left="105" w:hanging="105"/>
            </w:pPr>
            <w:r w:rsidRPr="00142385">
              <w:rPr>
                <w:rFonts w:hint="eastAsia"/>
              </w:rPr>
              <w:t>6　（略）</w:t>
            </w:r>
            <w:r w:rsidRPr="00142385">
              <w:t xml:space="preserve"> </w:t>
            </w:r>
          </w:p>
          <w:p w14:paraId="7F5CCD4E" w14:textId="77777777" w:rsidR="007116F7" w:rsidRDefault="007116F7" w:rsidP="007116F7">
            <w:pPr>
              <w:wordWrap/>
              <w:spacing w:line="294" w:lineRule="exact"/>
              <w:ind w:left="99" w:hangingChars="50" w:hanging="99"/>
            </w:pPr>
            <w:r w:rsidRPr="00142385">
              <w:t>7</w:t>
            </w:r>
            <w:r w:rsidRPr="00142385">
              <w:rPr>
                <w:rFonts w:hint="eastAsia"/>
              </w:rPr>
              <w:t xml:space="preserve">　第</w:t>
            </w:r>
            <w:r w:rsidRPr="00142385">
              <w:t>1</w:t>
            </w:r>
            <w:r w:rsidRPr="00142385">
              <w:rPr>
                <w:rFonts w:hint="eastAsia"/>
              </w:rPr>
              <w:t>項から第5項までの権限は、犯罪捜査のために認められたものと解釈してはならない。</w:t>
            </w:r>
          </w:p>
          <w:p w14:paraId="147212B4" w14:textId="77777777" w:rsidR="00EC3CE5" w:rsidRDefault="00EC3CE5" w:rsidP="007116F7">
            <w:pPr>
              <w:wordWrap/>
              <w:spacing w:line="294" w:lineRule="exact"/>
              <w:ind w:left="99" w:hangingChars="50" w:hanging="99"/>
            </w:pPr>
          </w:p>
          <w:p w14:paraId="77443A76" w14:textId="4ADA576A" w:rsidR="00EC3CE5" w:rsidRPr="00142385" w:rsidRDefault="00EC3CE5" w:rsidP="007116F7">
            <w:pPr>
              <w:wordWrap/>
              <w:spacing w:line="294" w:lineRule="exact"/>
              <w:ind w:left="99" w:hangingChars="50" w:hanging="99"/>
            </w:pPr>
            <w:r w:rsidRPr="00EC3CE5">
              <w:t>(</w:t>
            </w:r>
            <w:r>
              <w:rPr>
                <w:rFonts w:hint="eastAsia"/>
              </w:rPr>
              <w:t>機構による</w:t>
            </w:r>
            <w:r w:rsidRPr="00EC3CE5">
              <w:rPr>
                <w:rFonts w:hint="eastAsia"/>
              </w:rPr>
              <w:t>立入検査等</w:t>
            </w:r>
            <w:r>
              <w:rPr>
                <w:rFonts w:hint="eastAsia"/>
              </w:rPr>
              <w:t>の実施</w:t>
            </w:r>
            <w:r w:rsidRPr="00EC3CE5">
              <w:t>)</w:t>
            </w:r>
          </w:p>
          <w:p w14:paraId="263D1948" w14:textId="77777777" w:rsidR="007116F7" w:rsidRPr="00142385" w:rsidRDefault="007116F7" w:rsidP="007116F7">
            <w:pPr>
              <w:spacing w:line="294" w:lineRule="exact"/>
              <w:ind w:left="105" w:hanging="105"/>
            </w:pPr>
            <w:r w:rsidRPr="00142385">
              <w:rPr>
                <w:rFonts w:hint="eastAsia"/>
              </w:rPr>
              <w:t>第69条の2　厚生労働大臣は、機構に、前条第1項若しくは第5項の規定による立入検査若しくは質問又は同条第4項の規定による立入検査、質問若しくは収去のうち政令で定めるものを行わせることができる。</w:t>
            </w:r>
          </w:p>
          <w:p w14:paraId="10FFA105" w14:textId="77777777" w:rsidR="007116F7" w:rsidRPr="00142385" w:rsidRDefault="007116F7" w:rsidP="007116F7">
            <w:pPr>
              <w:spacing w:line="294" w:lineRule="exact"/>
              <w:ind w:left="105" w:hanging="105"/>
            </w:pPr>
            <w:r w:rsidRPr="00142385">
              <w:rPr>
                <w:rFonts w:hint="eastAsia"/>
              </w:rPr>
              <w:t>2　都道府県知事は、機構に、前条第1項の規定による立入検査若しくは質問又は同条第4項の規定による立入検査、質問若しくは収去のうち政令で定めるものを行わせることができる。</w:t>
            </w:r>
          </w:p>
          <w:p w14:paraId="39D109B2" w14:textId="77777777" w:rsidR="007116F7" w:rsidRPr="00142385" w:rsidRDefault="007116F7" w:rsidP="007116F7">
            <w:pPr>
              <w:spacing w:line="294" w:lineRule="exact"/>
              <w:ind w:left="105" w:hanging="105"/>
            </w:pPr>
            <w:r w:rsidRPr="00142385">
              <w:rPr>
                <w:rFonts w:hint="eastAsia"/>
              </w:rPr>
              <w:t>3　機構は、第1項の規定により同項の政令で定める立入検査、質問又は収去をしたときは、厚生労働省令で定めるところにより、当該立入検査、質問又は収去の結果を厚生労働大臣に、前項の規定により同項の政令で定める立入検査、質問又は収去をしたときは、厚生労働省令で定めるところにより、当該立入検査、質問又は収去の結果を都道府県知事に通知しなければならない。</w:t>
            </w:r>
          </w:p>
          <w:p w14:paraId="236DB314" w14:textId="77777777" w:rsidR="007116F7" w:rsidRPr="00142385" w:rsidRDefault="007116F7" w:rsidP="007116F7">
            <w:pPr>
              <w:spacing w:line="294" w:lineRule="exact"/>
              <w:ind w:left="105" w:hanging="105"/>
            </w:pPr>
            <w:r w:rsidRPr="00142385">
              <w:rPr>
                <w:rFonts w:hint="eastAsia"/>
              </w:rPr>
              <w:t>4　第1項又は第2項の政令で定める立入検査、質問又は収去の業務に従事する機構の職員は、政令で定める資格を有する者でなければならない。</w:t>
            </w:r>
          </w:p>
          <w:p w14:paraId="427BCFB2" w14:textId="77777777" w:rsidR="007116F7" w:rsidRPr="00142385" w:rsidRDefault="007116F7" w:rsidP="007116F7">
            <w:pPr>
              <w:spacing w:line="294" w:lineRule="exact"/>
              <w:ind w:left="99" w:hangingChars="50" w:hanging="99"/>
            </w:pPr>
            <w:r w:rsidRPr="00142385">
              <w:rPr>
                <w:rFonts w:hint="eastAsia"/>
              </w:rPr>
              <w:t>5　前項に規定する機構の職員は、第1項又は第2項の政令で定める立入検査、質問又は収去をする場合には、その身分を示す証明書を携帯し、関係人の請求があつたときは、これを提示しなければならない。</w:t>
            </w:r>
          </w:p>
          <w:p w14:paraId="670690C2" w14:textId="77777777" w:rsidR="006C54C1" w:rsidRDefault="006C54C1" w:rsidP="007116F7">
            <w:pPr>
              <w:spacing w:line="294" w:lineRule="exact"/>
              <w:ind w:left="105" w:hanging="105"/>
              <w:rPr>
                <w:rFonts w:hint="eastAsia"/>
              </w:rPr>
            </w:pPr>
          </w:p>
          <w:p w14:paraId="22DBB9CE" w14:textId="77777777" w:rsidR="007116F7" w:rsidRPr="00142385" w:rsidRDefault="007116F7" w:rsidP="007116F7">
            <w:pPr>
              <w:spacing w:line="294" w:lineRule="exact"/>
              <w:ind w:left="105" w:hanging="105"/>
            </w:pPr>
            <w:bookmarkStart w:id="0" w:name="_GoBack"/>
            <w:bookmarkEnd w:id="0"/>
            <w:r w:rsidRPr="00142385">
              <w:rPr>
                <w:rFonts w:hint="eastAsia"/>
              </w:rPr>
              <w:t xml:space="preserve">第80条の5　厚生労働大臣は、機構に、第80条の2第7項の規定による立入検査又は質問のうち政令で定めるものを行わせることができる。 </w:t>
            </w:r>
          </w:p>
          <w:p w14:paraId="6273DB04" w14:textId="77777777" w:rsidR="007116F7" w:rsidRPr="00142385" w:rsidRDefault="007116F7" w:rsidP="007116F7">
            <w:pPr>
              <w:spacing w:line="294" w:lineRule="exact"/>
              <w:ind w:left="105" w:hanging="105"/>
            </w:pPr>
            <w:r w:rsidRPr="00142385">
              <w:rPr>
                <w:rFonts w:hint="eastAsia"/>
              </w:rPr>
              <w:t>2　前項の立入検査又は質問については、第69条の2第3項から第5項までの規定を準用する。</w:t>
            </w:r>
          </w:p>
          <w:p w14:paraId="11A617BA" w14:textId="77777777" w:rsidR="00121293" w:rsidRPr="00142385" w:rsidRDefault="00121293" w:rsidP="00820B29">
            <w:pPr>
              <w:spacing w:line="294" w:lineRule="exact"/>
              <w:ind w:left="105" w:hanging="105"/>
            </w:pPr>
          </w:p>
        </w:tc>
      </w:tr>
    </w:tbl>
    <w:p w14:paraId="207D057E" w14:textId="77777777" w:rsidR="00E90D05" w:rsidRPr="00142385" w:rsidRDefault="00E90D05" w:rsidP="00336C83">
      <w:pPr>
        <w:widowControl/>
        <w:wordWrap/>
        <w:overflowPunct/>
        <w:autoSpaceDE/>
        <w:autoSpaceDN/>
        <w:jc w:val="left"/>
      </w:pPr>
    </w:p>
    <w:sectPr w:rsidR="00E90D05" w:rsidRPr="00142385" w:rsidSect="00AE763F">
      <w:pgSz w:w="11907" w:h="16840" w:code="9"/>
      <w:pgMar w:top="1701" w:right="612" w:bottom="1701" w:left="612" w:header="284" w:footer="284" w:gutter="0"/>
      <w:cols w:space="425"/>
      <w:docGrid w:type="linesAndChars" w:linePitch="334" w:charSpace="-249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22C7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9CDDB" w14:textId="77777777" w:rsidR="00FE5955" w:rsidRDefault="00FE5955" w:rsidP="00BE6AC8">
      <w:r>
        <w:separator/>
      </w:r>
    </w:p>
  </w:endnote>
  <w:endnote w:type="continuationSeparator" w:id="0">
    <w:p w14:paraId="3B55001D" w14:textId="77777777" w:rsidR="00FE5955" w:rsidRDefault="00FE595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6E7BA" w14:textId="77777777" w:rsidR="00E90D05" w:rsidRDefault="00E90D0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264A84E" w14:textId="77777777" w:rsidR="00E90D05" w:rsidRDefault="00E90D0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FAAA1" w14:textId="77777777" w:rsidR="00121293" w:rsidRDefault="0012129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CA1C431" w14:textId="77777777" w:rsidR="00121293" w:rsidRDefault="0012129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7ECE9" w14:textId="77777777" w:rsidR="00FE5955" w:rsidRDefault="00FE5955" w:rsidP="00BE6AC8">
      <w:r>
        <w:separator/>
      </w:r>
    </w:p>
  </w:footnote>
  <w:footnote w:type="continuationSeparator" w:id="0">
    <w:p w14:paraId="27B9326B" w14:textId="77777777" w:rsidR="00FE5955" w:rsidRDefault="00FE5955" w:rsidP="00BE6AC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永井 宏忠">
    <w15:presenceInfo w15:providerId="AD" w15:userId="S-1-5-21-1480862915-2594573055-1719783194-11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oNotTrackFormatting/>
  <w:defaultTabStop w:val="839"/>
  <w:drawingGridHorizontalSpacing w:val="99"/>
  <w:drawingGridVerticalSpacing w:val="167"/>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5"/>
    <w:rsid w:val="00027924"/>
    <w:rsid w:val="000C205D"/>
    <w:rsid w:val="000F75AA"/>
    <w:rsid w:val="001009E4"/>
    <w:rsid w:val="00111ABD"/>
    <w:rsid w:val="00121293"/>
    <w:rsid w:val="00123C40"/>
    <w:rsid w:val="00142385"/>
    <w:rsid w:val="00152752"/>
    <w:rsid w:val="001A54EE"/>
    <w:rsid w:val="00247B77"/>
    <w:rsid w:val="00274D46"/>
    <w:rsid w:val="002B3572"/>
    <w:rsid w:val="002B46DC"/>
    <w:rsid w:val="002B5C45"/>
    <w:rsid w:val="002D3505"/>
    <w:rsid w:val="00336C83"/>
    <w:rsid w:val="00364CCF"/>
    <w:rsid w:val="00367CC6"/>
    <w:rsid w:val="004E55AE"/>
    <w:rsid w:val="00532B99"/>
    <w:rsid w:val="005A2F69"/>
    <w:rsid w:val="005E1F46"/>
    <w:rsid w:val="005E79F8"/>
    <w:rsid w:val="005F57A7"/>
    <w:rsid w:val="006C54C1"/>
    <w:rsid w:val="006D1F3D"/>
    <w:rsid w:val="006D6D9D"/>
    <w:rsid w:val="00703BCF"/>
    <w:rsid w:val="007116F7"/>
    <w:rsid w:val="007631F2"/>
    <w:rsid w:val="00787DEA"/>
    <w:rsid w:val="007C0B2A"/>
    <w:rsid w:val="00820B29"/>
    <w:rsid w:val="00823F74"/>
    <w:rsid w:val="008626D1"/>
    <w:rsid w:val="00927611"/>
    <w:rsid w:val="00931FE6"/>
    <w:rsid w:val="00967CAD"/>
    <w:rsid w:val="0099790F"/>
    <w:rsid w:val="00A126A6"/>
    <w:rsid w:val="00A4209B"/>
    <w:rsid w:val="00AE763F"/>
    <w:rsid w:val="00B04405"/>
    <w:rsid w:val="00B1053D"/>
    <w:rsid w:val="00B441CA"/>
    <w:rsid w:val="00B45BD2"/>
    <w:rsid w:val="00B61A57"/>
    <w:rsid w:val="00BA578F"/>
    <w:rsid w:val="00BD31F8"/>
    <w:rsid w:val="00BE3998"/>
    <w:rsid w:val="00BE5EF0"/>
    <w:rsid w:val="00BE6AC8"/>
    <w:rsid w:val="00CA3949"/>
    <w:rsid w:val="00D15A92"/>
    <w:rsid w:val="00D20169"/>
    <w:rsid w:val="00D70081"/>
    <w:rsid w:val="00E057DF"/>
    <w:rsid w:val="00E133EA"/>
    <w:rsid w:val="00E22909"/>
    <w:rsid w:val="00E4483F"/>
    <w:rsid w:val="00E71AE7"/>
    <w:rsid w:val="00E82BB6"/>
    <w:rsid w:val="00E90D05"/>
    <w:rsid w:val="00E95B92"/>
    <w:rsid w:val="00EC3CE5"/>
    <w:rsid w:val="00ED2E73"/>
    <w:rsid w:val="00F33DF6"/>
    <w:rsid w:val="00FE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3C97CA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paragraph" w:styleId="ae">
    <w:name w:val="Balloon Text"/>
    <w:basedOn w:val="a"/>
    <w:link w:val="af"/>
    <w:uiPriority w:val="99"/>
    <w:semiHidden/>
    <w:unhideWhenUsed/>
    <w:rsid w:val="0092761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27611"/>
    <w:rPr>
      <w:rFonts w:asciiTheme="majorHAnsi" w:eastAsiaTheme="majorEastAsia" w:hAnsiTheme="majorHAnsi" w:cstheme="majorBidi"/>
      <w:kern w:val="2"/>
      <w:sz w:val="18"/>
      <w:szCs w:val="18"/>
    </w:rPr>
  </w:style>
  <w:style w:type="character" w:styleId="af0">
    <w:name w:val="annotation reference"/>
    <w:basedOn w:val="a0"/>
    <w:uiPriority w:val="99"/>
    <w:semiHidden/>
    <w:unhideWhenUsed/>
    <w:rsid w:val="00336C83"/>
    <w:rPr>
      <w:sz w:val="18"/>
      <w:szCs w:val="18"/>
    </w:rPr>
  </w:style>
  <w:style w:type="paragraph" w:styleId="af1">
    <w:name w:val="annotation text"/>
    <w:basedOn w:val="a"/>
    <w:link w:val="af2"/>
    <w:uiPriority w:val="99"/>
    <w:semiHidden/>
    <w:unhideWhenUsed/>
    <w:rsid w:val="00336C83"/>
    <w:pPr>
      <w:jc w:val="left"/>
    </w:pPr>
  </w:style>
  <w:style w:type="character" w:customStyle="1" w:styleId="af2">
    <w:name w:val="コメント文字列 (文字)"/>
    <w:basedOn w:val="a0"/>
    <w:link w:val="af1"/>
    <w:uiPriority w:val="99"/>
    <w:semiHidden/>
    <w:rsid w:val="00336C83"/>
    <w:rPr>
      <w:rFonts w:ascii="ＭＳ 明朝"/>
      <w:kern w:val="2"/>
      <w:sz w:val="21"/>
    </w:rPr>
  </w:style>
  <w:style w:type="paragraph" w:styleId="af3">
    <w:name w:val="annotation subject"/>
    <w:basedOn w:val="af1"/>
    <w:next w:val="af1"/>
    <w:link w:val="af4"/>
    <w:uiPriority w:val="99"/>
    <w:semiHidden/>
    <w:unhideWhenUsed/>
    <w:rsid w:val="00336C83"/>
    <w:rPr>
      <w:b/>
      <w:bCs/>
    </w:rPr>
  </w:style>
  <w:style w:type="character" w:customStyle="1" w:styleId="af4">
    <w:name w:val="コメント内容 (文字)"/>
    <w:basedOn w:val="af2"/>
    <w:link w:val="af3"/>
    <w:uiPriority w:val="99"/>
    <w:semiHidden/>
    <w:rsid w:val="00336C83"/>
    <w:rPr>
      <w:rFonts w:ascii="ＭＳ 明朝"/>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paragraph" w:styleId="ae">
    <w:name w:val="Balloon Text"/>
    <w:basedOn w:val="a"/>
    <w:link w:val="af"/>
    <w:uiPriority w:val="99"/>
    <w:semiHidden/>
    <w:unhideWhenUsed/>
    <w:rsid w:val="0092761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27611"/>
    <w:rPr>
      <w:rFonts w:asciiTheme="majorHAnsi" w:eastAsiaTheme="majorEastAsia" w:hAnsiTheme="majorHAnsi" w:cstheme="majorBidi"/>
      <w:kern w:val="2"/>
      <w:sz w:val="18"/>
      <w:szCs w:val="18"/>
    </w:rPr>
  </w:style>
  <w:style w:type="character" w:styleId="af0">
    <w:name w:val="annotation reference"/>
    <w:basedOn w:val="a0"/>
    <w:uiPriority w:val="99"/>
    <w:semiHidden/>
    <w:unhideWhenUsed/>
    <w:rsid w:val="00336C83"/>
    <w:rPr>
      <w:sz w:val="18"/>
      <w:szCs w:val="18"/>
    </w:rPr>
  </w:style>
  <w:style w:type="paragraph" w:styleId="af1">
    <w:name w:val="annotation text"/>
    <w:basedOn w:val="a"/>
    <w:link w:val="af2"/>
    <w:uiPriority w:val="99"/>
    <w:semiHidden/>
    <w:unhideWhenUsed/>
    <w:rsid w:val="00336C83"/>
    <w:pPr>
      <w:jc w:val="left"/>
    </w:pPr>
  </w:style>
  <w:style w:type="character" w:customStyle="1" w:styleId="af2">
    <w:name w:val="コメント文字列 (文字)"/>
    <w:basedOn w:val="a0"/>
    <w:link w:val="af1"/>
    <w:uiPriority w:val="99"/>
    <w:semiHidden/>
    <w:rsid w:val="00336C83"/>
    <w:rPr>
      <w:rFonts w:ascii="ＭＳ 明朝"/>
      <w:kern w:val="2"/>
      <w:sz w:val="21"/>
    </w:rPr>
  </w:style>
  <w:style w:type="paragraph" w:styleId="af3">
    <w:name w:val="annotation subject"/>
    <w:basedOn w:val="af1"/>
    <w:next w:val="af1"/>
    <w:link w:val="af4"/>
    <w:uiPriority w:val="99"/>
    <w:semiHidden/>
    <w:unhideWhenUsed/>
    <w:rsid w:val="00336C83"/>
    <w:rPr>
      <w:b/>
      <w:bCs/>
    </w:rPr>
  </w:style>
  <w:style w:type="character" w:customStyle="1" w:styleId="af4">
    <w:name w:val="コメント内容 (文字)"/>
    <w:basedOn w:val="af2"/>
    <w:link w:val="af3"/>
    <w:uiPriority w:val="99"/>
    <w:semiHidden/>
    <w:rsid w:val="00336C83"/>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29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9692-1D09-4790-B383-06D94776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2542</Words>
  <Characters>247</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k</cp:lastModifiedBy>
  <cp:revision>4</cp:revision>
  <cp:lastPrinted>2014-01-14T05:50:00Z</cp:lastPrinted>
  <dcterms:created xsi:type="dcterms:W3CDTF">2014-10-27T13:23:00Z</dcterms:created>
  <dcterms:modified xsi:type="dcterms:W3CDTF">2014-10-27T13:42:00Z</dcterms:modified>
</cp:coreProperties>
</file>