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E3A" w:rsidRPr="003D2E3A" w:rsidRDefault="003D2E3A" w:rsidP="003D2E3A">
      <w:pPr>
        <w:jc w:val="right"/>
        <w:rPr>
          <w:rFonts w:ascii="ＭＳ ゴシック" w:eastAsia="ＭＳ ゴシック" w:hAnsi="ＭＳ ゴシック"/>
          <w:sz w:val="24"/>
          <w:szCs w:val="24"/>
          <w:bdr w:val="single" w:sz="4" w:space="0" w:color="auto"/>
        </w:rPr>
      </w:pPr>
      <w:r w:rsidRPr="003D2E3A">
        <w:rPr>
          <w:rFonts w:ascii="ＭＳ ゴシック" w:eastAsia="ＭＳ ゴシック" w:hAnsi="ＭＳ ゴシック" w:hint="eastAsia"/>
          <w:sz w:val="24"/>
          <w:szCs w:val="24"/>
          <w:bdr w:val="single" w:sz="4" w:space="0" w:color="auto"/>
        </w:rPr>
        <w:t>参考資料</w:t>
      </w:r>
      <w:r w:rsidR="00CA5B5F">
        <w:rPr>
          <w:rFonts w:ascii="ＭＳ ゴシック" w:eastAsia="ＭＳ ゴシック" w:hAnsi="ＭＳ ゴシック" w:hint="eastAsia"/>
          <w:sz w:val="24"/>
          <w:szCs w:val="24"/>
          <w:bdr w:val="single" w:sz="4" w:space="0" w:color="auto"/>
        </w:rPr>
        <w:t>８</w:t>
      </w:r>
      <w:bookmarkStart w:id="0" w:name="_GoBack"/>
      <w:bookmarkEnd w:id="0"/>
    </w:p>
    <w:p w:rsidR="003D2E3A" w:rsidRPr="003D2E3A" w:rsidRDefault="003D2E3A" w:rsidP="003D2E3A">
      <w:pPr>
        <w:jc w:val="center"/>
        <w:rPr>
          <w:rFonts w:ascii="ＭＳ ゴシック" w:eastAsia="ＭＳ ゴシック" w:hAnsi="ＭＳ ゴシック"/>
          <w:sz w:val="24"/>
          <w:szCs w:val="24"/>
        </w:rPr>
      </w:pPr>
    </w:p>
    <w:p w:rsidR="003D2E3A" w:rsidRPr="003D2E3A" w:rsidRDefault="003D2E3A" w:rsidP="003D2E3A">
      <w:pPr>
        <w:jc w:val="center"/>
        <w:rPr>
          <w:rFonts w:ascii="ＭＳ ゴシック" w:eastAsia="ＭＳ ゴシック" w:hAnsi="ＭＳ ゴシック"/>
          <w:sz w:val="24"/>
          <w:szCs w:val="24"/>
        </w:rPr>
      </w:pPr>
      <w:r w:rsidRPr="003D2E3A">
        <w:rPr>
          <w:rFonts w:ascii="ＭＳ ゴシック" w:eastAsia="ＭＳ ゴシック" w:hAnsi="ＭＳ ゴシック" w:hint="eastAsia"/>
          <w:sz w:val="24"/>
          <w:szCs w:val="24"/>
        </w:rPr>
        <w:t>建築基準法（昭和25年法律第201号）</w:t>
      </w:r>
    </w:p>
    <w:p w:rsidR="003D2E3A" w:rsidRDefault="003D2E3A">
      <w:pPr>
        <w:rPr>
          <w:rFonts w:ascii="ＭＳ ゴシック" w:eastAsia="ＭＳ ゴシック" w:hAnsi="ＭＳ ゴシック"/>
          <w:sz w:val="24"/>
          <w:szCs w:val="24"/>
        </w:rPr>
      </w:pPr>
    </w:p>
    <w:p w:rsidR="00BF2B79" w:rsidRDefault="003E6DB3" w:rsidP="003E6DB3">
      <w:pPr>
        <w:ind w:firstLineChars="100" w:firstLine="240"/>
        <w:rPr>
          <w:rFonts w:ascii="ＭＳ ゴシック" w:eastAsia="ＭＳ ゴシック" w:hAnsi="ＭＳ ゴシック"/>
          <w:sz w:val="24"/>
          <w:szCs w:val="24"/>
        </w:rPr>
      </w:pPr>
      <w:r w:rsidRPr="003E6DB3">
        <w:rPr>
          <w:rFonts w:ascii="ＭＳ ゴシック" w:eastAsia="ＭＳ ゴシック" w:hAnsi="ＭＳ ゴシック" w:hint="eastAsia"/>
          <w:sz w:val="24"/>
          <w:szCs w:val="24"/>
        </w:rPr>
        <w:t>（用語の定義）</w:t>
      </w:r>
    </w:p>
    <w:p w:rsidR="00BF2B79" w:rsidRPr="00BF2B79" w:rsidRDefault="00BF2B79" w:rsidP="003E6DB3">
      <w:pPr>
        <w:ind w:left="240" w:hangingChars="100" w:hanging="240"/>
        <w:rPr>
          <w:rFonts w:ascii="ＭＳ ゴシック" w:eastAsia="ＭＳ ゴシック" w:hAnsi="ＭＳ ゴシック"/>
          <w:sz w:val="24"/>
          <w:szCs w:val="24"/>
        </w:rPr>
      </w:pPr>
      <w:r w:rsidRPr="00BF2B79">
        <w:rPr>
          <w:rFonts w:ascii="ＭＳ ゴシック" w:eastAsia="ＭＳ ゴシック" w:hAnsi="ＭＳ ゴシック" w:hint="eastAsia"/>
          <w:sz w:val="24"/>
          <w:szCs w:val="24"/>
        </w:rPr>
        <w:t>第二条　この法律において次の各号に掲げる用語の意義は、それぞれ当該各号に定めるところによる。</w:t>
      </w:r>
    </w:p>
    <w:p w:rsidR="00BF2B79" w:rsidRPr="00BF2B79" w:rsidRDefault="00BF2B79" w:rsidP="003E6DB3">
      <w:pPr>
        <w:ind w:leftChars="100" w:left="450" w:hangingChars="100" w:hanging="240"/>
        <w:rPr>
          <w:rFonts w:ascii="ＭＳ ゴシック" w:eastAsia="ＭＳ ゴシック" w:hAnsi="ＭＳ ゴシック"/>
          <w:sz w:val="24"/>
          <w:szCs w:val="24"/>
        </w:rPr>
      </w:pPr>
      <w:r w:rsidRPr="00BF2B79">
        <w:rPr>
          <w:rFonts w:ascii="ＭＳ ゴシック" w:eastAsia="ＭＳ ゴシック" w:hAnsi="ＭＳ ゴシック" w:hint="eastAsia"/>
          <w:sz w:val="24"/>
          <w:szCs w:val="24"/>
        </w:rPr>
        <w:t>一　建築物　土地に定着する工作物のうち、屋根及び柱若しくは壁を有するもの（これに類する構造のものを含む。）、これに附属する門若しくは塀、観覧のための工作物又は地下若しくは高架の工作物内に設ける事務所、店舗、興行場、倉庫その他これらに類する施設（鉄道及び軌道の線路敷地内の運転保安に関する施設並びに跨（こ）線橋、プラットホームの上家、貯蔵槽その他これらに類する施設を除く。）をいい、建築設備を含むものとする。</w:t>
      </w:r>
    </w:p>
    <w:p w:rsidR="00BF2B79" w:rsidRPr="00BF2B79" w:rsidRDefault="00BF2B79" w:rsidP="003E6DB3">
      <w:pPr>
        <w:ind w:leftChars="100" w:left="450" w:hangingChars="100" w:hanging="240"/>
        <w:rPr>
          <w:rFonts w:ascii="ＭＳ ゴシック" w:eastAsia="ＭＳ ゴシック" w:hAnsi="ＭＳ ゴシック"/>
          <w:sz w:val="24"/>
          <w:szCs w:val="24"/>
        </w:rPr>
      </w:pPr>
      <w:r w:rsidRPr="00BF2B79">
        <w:rPr>
          <w:rFonts w:ascii="ＭＳ ゴシック" w:eastAsia="ＭＳ ゴシック" w:hAnsi="ＭＳ ゴシック" w:hint="eastAsia"/>
          <w:sz w:val="24"/>
          <w:szCs w:val="24"/>
        </w:rPr>
        <w:t>二　特殊建築物　学校（専修学校及び各種学校を含む。以下同様とする。）、体育館、病院、劇場、観覧場、集会場、展示場、百貨店、市場、ダンスホール、遊技場、公衆浴場、旅館、共同住宅、寄宿舎、下宿、工場、倉庫、自動車車庫、危険物の貯蔵場、と畜場、火葬場、汚物処理場その他これらに類する用途に供する建築物をいう。</w:t>
      </w:r>
    </w:p>
    <w:p w:rsidR="00BF2B79" w:rsidRPr="00BF2B79" w:rsidRDefault="00BF2B79" w:rsidP="003E6DB3">
      <w:pPr>
        <w:ind w:leftChars="100" w:left="450" w:hangingChars="100" w:hanging="240"/>
        <w:rPr>
          <w:rFonts w:ascii="ＭＳ ゴシック" w:eastAsia="ＭＳ ゴシック" w:hAnsi="ＭＳ ゴシック"/>
          <w:sz w:val="24"/>
          <w:szCs w:val="24"/>
        </w:rPr>
      </w:pPr>
      <w:r w:rsidRPr="00BF2B79">
        <w:rPr>
          <w:rFonts w:ascii="ＭＳ ゴシック" w:eastAsia="ＭＳ ゴシック" w:hAnsi="ＭＳ ゴシック" w:hint="eastAsia"/>
          <w:sz w:val="24"/>
          <w:szCs w:val="24"/>
        </w:rPr>
        <w:t>三　建築設備　建築物に設ける電気、ガス、給水、排水、換気、暖房、冷房、消火、排煙若しくは汚物処理の設備又は煙突、昇降機若しくは避雷針をいう。</w:t>
      </w:r>
    </w:p>
    <w:p w:rsidR="00BF2B79" w:rsidRPr="00BF2B79" w:rsidRDefault="00BF2B79" w:rsidP="00BF2B79">
      <w:pPr>
        <w:rPr>
          <w:rFonts w:ascii="ＭＳ ゴシック" w:eastAsia="ＭＳ ゴシック" w:hAnsi="ＭＳ ゴシック"/>
          <w:sz w:val="24"/>
          <w:szCs w:val="24"/>
        </w:rPr>
      </w:pPr>
    </w:p>
    <w:p w:rsidR="00BF2B79" w:rsidRPr="00BF2B79" w:rsidRDefault="00BF2B79" w:rsidP="003E6DB3">
      <w:pPr>
        <w:ind w:leftChars="100" w:left="450" w:hangingChars="100" w:hanging="240"/>
        <w:rPr>
          <w:rFonts w:ascii="ＭＳ ゴシック" w:eastAsia="ＭＳ ゴシック" w:hAnsi="ＭＳ ゴシック"/>
          <w:sz w:val="24"/>
          <w:szCs w:val="24"/>
        </w:rPr>
      </w:pPr>
      <w:r w:rsidRPr="00BF2B79">
        <w:rPr>
          <w:rFonts w:ascii="ＭＳ ゴシック" w:eastAsia="ＭＳ ゴシック" w:hAnsi="ＭＳ ゴシック" w:hint="eastAsia"/>
          <w:sz w:val="24"/>
          <w:szCs w:val="24"/>
        </w:rPr>
        <w:t>五　主要構造部　壁、柱、床、はり、屋根又は階段をいい、建築物の構造上重要でない間仕切壁、間柱、付け柱、揚げ床、最下階の床、回り舞台の床、小ばり、ひさし、局部的な小階段、屋外階段その他これらに類する建築物の部分を除くものとする。</w:t>
      </w:r>
    </w:p>
    <w:p w:rsidR="00BF2B79" w:rsidRPr="00BF2B79" w:rsidRDefault="00BF2B79" w:rsidP="00BF2B79">
      <w:pPr>
        <w:rPr>
          <w:rFonts w:ascii="ＭＳ ゴシック" w:eastAsia="ＭＳ ゴシック" w:hAnsi="ＭＳ ゴシック"/>
          <w:sz w:val="24"/>
          <w:szCs w:val="24"/>
        </w:rPr>
      </w:pPr>
    </w:p>
    <w:p w:rsidR="00BF2B79" w:rsidRPr="00BF2B79" w:rsidRDefault="00BF2B79" w:rsidP="003E6DB3">
      <w:pPr>
        <w:ind w:firstLineChars="100" w:firstLine="240"/>
        <w:rPr>
          <w:rFonts w:ascii="ＭＳ ゴシック" w:eastAsia="ＭＳ ゴシック" w:hAnsi="ＭＳ ゴシック"/>
          <w:sz w:val="24"/>
          <w:szCs w:val="24"/>
        </w:rPr>
      </w:pPr>
      <w:r w:rsidRPr="00BF2B79">
        <w:rPr>
          <w:rFonts w:ascii="ＭＳ ゴシック" w:eastAsia="ＭＳ ゴシック" w:hAnsi="ＭＳ ゴシック" w:hint="eastAsia"/>
          <w:sz w:val="24"/>
          <w:szCs w:val="24"/>
        </w:rPr>
        <w:t>十三　建築　建築物を新築し、増築し、改築し、又は移転することをいう。</w:t>
      </w:r>
    </w:p>
    <w:p w:rsidR="00BF2B79" w:rsidRPr="00BF2B79" w:rsidRDefault="00BF2B79" w:rsidP="003E6DB3">
      <w:pPr>
        <w:ind w:leftChars="100" w:left="450" w:hangingChars="100" w:hanging="240"/>
        <w:rPr>
          <w:rFonts w:ascii="ＭＳ ゴシック" w:eastAsia="ＭＳ ゴシック" w:hAnsi="ＭＳ ゴシック"/>
          <w:sz w:val="24"/>
          <w:szCs w:val="24"/>
        </w:rPr>
      </w:pPr>
      <w:r w:rsidRPr="00BF2B79">
        <w:rPr>
          <w:rFonts w:ascii="ＭＳ ゴシック" w:eastAsia="ＭＳ ゴシック" w:hAnsi="ＭＳ ゴシック" w:hint="eastAsia"/>
          <w:sz w:val="24"/>
          <w:szCs w:val="24"/>
        </w:rPr>
        <w:t>十四　大規模の修繕　建築物の主要構造部の一種以上について行う過半の修繕をいう。</w:t>
      </w:r>
    </w:p>
    <w:p w:rsidR="00BF2B79" w:rsidRDefault="00BF2B79" w:rsidP="003E6DB3">
      <w:pPr>
        <w:ind w:leftChars="100" w:left="450" w:hangingChars="100" w:hanging="240"/>
        <w:rPr>
          <w:rFonts w:ascii="ＭＳ ゴシック" w:eastAsia="ＭＳ ゴシック" w:hAnsi="ＭＳ ゴシック"/>
          <w:sz w:val="24"/>
          <w:szCs w:val="24"/>
        </w:rPr>
      </w:pPr>
      <w:r w:rsidRPr="00BF2B79">
        <w:rPr>
          <w:rFonts w:ascii="ＭＳ ゴシック" w:eastAsia="ＭＳ ゴシック" w:hAnsi="ＭＳ ゴシック" w:hint="eastAsia"/>
          <w:sz w:val="24"/>
          <w:szCs w:val="24"/>
        </w:rPr>
        <w:t>十五　大規模の模様替　建築物の主要構造部の一種以上について行う過半の模様替をいう。</w:t>
      </w:r>
    </w:p>
    <w:p w:rsidR="003E6DB3" w:rsidRPr="003D2E3A" w:rsidRDefault="003E6DB3" w:rsidP="003E6DB3">
      <w:pPr>
        <w:ind w:leftChars="100" w:left="450" w:hangingChars="100" w:hanging="240"/>
        <w:rPr>
          <w:rFonts w:ascii="ＭＳ ゴシック" w:eastAsia="ＭＳ ゴシック" w:hAnsi="ＭＳ ゴシック"/>
          <w:sz w:val="24"/>
          <w:szCs w:val="24"/>
        </w:rPr>
      </w:pPr>
    </w:p>
    <w:p w:rsidR="003D2E3A" w:rsidRPr="003D2E3A" w:rsidRDefault="003D2E3A" w:rsidP="003D2E3A">
      <w:pPr>
        <w:ind w:firstLineChars="100" w:firstLine="240"/>
        <w:rPr>
          <w:rFonts w:ascii="ＭＳ ゴシック" w:eastAsia="ＭＳ ゴシック" w:hAnsi="ＭＳ ゴシック"/>
          <w:sz w:val="24"/>
          <w:szCs w:val="24"/>
        </w:rPr>
      </w:pPr>
      <w:r w:rsidRPr="003D2E3A">
        <w:rPr>
          <w:rFonts w:ascii="ＭＳ ゴシック" w:eastAsia="ＭＳ ゴシック" w:hAnsi="ＭＳ ゴシック" w:hint="eastAsia"/>
          <w:sz w:val="24"/>
          <w:szCs w:val="24"/>
        </w:rPr>
        <w:t>（建築物の建築等に関する申請及び確認）</w:t>
      </w:r>
    </w:p>
    <w:p w:rsidR="003D2E3A" w:rsidRPr="003D2E3A" w:rsidRDefault="003D2E3A" w:rsidP="003D2E3A">
      <w:pPr>
        <w:ind w:left="240" w:hangingChars="100" w:hanging="240"/>
        <w:rPr>
          <w:rFonts w:ascii="ＭＳ ゴシック" w:eastAsia="ＭＳ ゴシック" w:hAnsi="ＭＳ ゴシック"/>
          <w:sz w:val="24"/>
          <w:szCs w:val="24"/>
        </w:rPr>
      </w:pPr>
      <w:r w:rsidRPr="003D2E3A">
        <w:rPr>
          <w:rFonts w:ascii="ＭＳ ゴシック" w:eastAsia="ＭＳ ゴシック" w:hAnsi="ＭＳ ゴシック" w:hint="eastAsia"/>
          <w:sz w:val="24"/>
          <w:szCs w:val="24"/>
        </w:rPr>
        <w:t>第六条　建築主は、第一号から第三号までに掲げる建築物を建築しようとする場合（増築しようとする場合においては、建築物が増築後において第一号から第三号までに掲げる規模のものとなる場合を含む。）、これらの建築物の大規模の修繕若しくは大規模の模様替をしようとする場合又は第四号に掲げる建築物を建築しようとする場合においては、当該工事に着手する前に、その計画</w:t>
      </w:r>
      <w:r w:rsidRPr="003D2E3A">
        <w:rPr>
          <w:rFonts w:ascii="ＭＳ ゴシック" w:eastAsia="ＭＳ ゴシック" w:hAnsi="ＭＳ ゴシック" w:hint="eastAsia"/>
          <w:sz w:val="24"/>
          <w:szCs w:val="24"/>
        </w:rPr>
        <w:lastRenderedPageBreak/>
        <w:t>が建築基準関係規定（この法律並びにこれに基づく命令及び条例の規定（以下「建築基準法令の規定」という。）その他建築物の敷地、構造又は建築設備に関する法律並びにこれに基づく命令及び条例の規定で政令で定めるものをいう。以下同じ。）に適合するものであることについて、確認の申請書を提出して建築主事の確認を受け、確認済証の交付を受けなければならない。当該確認を受けた建築物の計画の変更（国土交通省令で定める軽微な変更を除く。）をして、第一号から第三号までに掲げる建築物を建築しようとする場合（増築しようとする場合においては、建築物が増築後において第一号から第三号までに掲げる規模のものとなる場合を含む。）、これらの建築物の大規模の修繕若しくは大規模の模様替をしようとする場合又は第四号に掲げる建築物を建築しようとする場合も、同様とする。</w:t>
      </w:r>
    </w:p>
    <w:p w:rsidR="003D2E3A" w:rsidRPr="003D2E3A" w:rsidRDefault="003D2E3A" w:rsidP="003D2E3A">
      <w:pPr>
        <w:ind w:leftChars="100" w:left="450" w:hangingChars="100" w:hanging="240"/>
        <w:rPr>
          <w:rFonts w:ascii="ＭＳ ゴシック" w:eastAsia="ＭＳ ゴシック" w:hAnsi="ＭＳ ゴシック"/>
          <w:sz w:val="24"/>
          <w:szCs w:val="24"/>
        </w:rPr>
      </w:pPr>
      <w:r w:rsidRPr="003D2E3A">
        <w:rPr>
          <w:rFonts w:ascii="ＭＳ ゴシック" w:eastAsia="ＭＳ ゴシック" w:hAnsi="ＭＳ ゴシック" w:hint="eastAsia"/>
          <w:sz w:val="24"/>
          <w:szCs w:val="24"/>
        </w:rPr>
        <w:t>一　別表第一（い）欄に掲げる用途に供する特殊建築物で、その用途に供する部分の床面積の合計が百平方メートルを超えるもの</w:t>
      </w:r>
    </w:p>
    <w:p w:rsidR="003D2E3A" w:rsidRPr="003D2E3A" w:rsidRDefault="003D2E3A" w:rsidP="003D2E3A">
      <w:pPr>
        <w:ind w:leftChars="100" w:left="450" w:hangingChars="100" w:hanging="240"/>
        <w:rPr>
          <w:rFonts w:ascii="ＭＳ ゴシック" w:eastAsia="ＭＳ ゴシック" w:hAnsi="ＭＳ ゴシック"/>
          <w:sz w:val="24"/>
          <w:szCs w:val="24"/>
        </w:rPr>
      </w:pPr>
      <w:r w:rsidRPr="003D2E3A">
        <w:rPr>
          <w:rFonts w:ascii="ＭＳ ゴシック" w:eastAsia="ＭＳ ゴシック" w:hAnsi="ＭＳ ゴシック" w:hint="eastAsia"/>
          <w:sz w:val="24"/>
          <w:szCs w:val="24"/>
        </w:rPr>
        <w:t>二　木造の建築物で三以上の階数を有し、又は延べ面積が五百平方メートル、高さが十三メートル若しくは軒の高さが九メートルを超えるもの</w:t>
      </w:r>
    </w:p>
    <w:p w:rsidR="003D2E3A" w:rsidRPr="003D2E3A" w:rsidRDefault="003D2E3A" w:rsidP="003D2E3A">
      <w:pPr>
        <w:ind w:leftChars="100" w:left="450" w:hangingChars="100" w:hanging="240"/>
        <w:rPr>
          <w:rFonts w:ascii="ＭＳ ゴシック" w:eastAsia="ＭＳ ゴシック" w:hAnsi="ＭＳ ゴシック"/>
          <w:sz w:val="24"/>
          <w:szCs w:val="24"/>
        </w:rPr>
      </w:pPr>
      <w:r w:rsidRPr="003D2E3A">
        <w:rPr>
          <w:rFonts w:ascii="ＭＳ ゴシック" w:eastAsia="ＭＳ ゴシック" w:hAnsi="ＭＳ ゴシック" w:hint="eastAsia"/>
          <w:sz w:val="24"/>
          <w:szCs w:val="24"/>
        </w:rPr>
        <w:t>三　木造以外の建築物で二以上の階数を有し、又は延べ面積が二百平方メートルを超えるもの</w:t>
      </w:r>
    </w:p>
    <w:p w:rsidR="003D2E3A" w:rsidRPr="003D2E3A" w:rsidRDefault="003D2E3A" w:rsidP="003D2E3A">
      <w:pPr>
        <w:ind w:leftChars="100" w:left="450" w:hangingChars="100" w:hanging="240"/>
        <w:rPr>
          <w:rFonts w:ascii="ＭＳ ゴシック" w:eastAsia="ＭＳ ゴシック" w:hAnsi="ＭＳ ゴシック"/>
          <w:sz w:val="24"/>
          <w:szCs w:val="24"/>
        </w:rPr>
      </w:pPr>
      <w:r w:rsidRPr="003D2E3A">
        <w:rPr>
          <w:rFonts w:ascii="ＭＳ ゴシック" w:eastAsia="ＭＳ ゴシック" w:hAnsi="ＭＳ ゴシック" w:hint="eastAsia"/>
          <w:sz w:val="24"/>
          <w:szCs w:val="24"/>
        </w:rPr>
        <w:t>四　前三号に掲げる建築物を除くほか、都市計画区域若しくは準都市計画区域（いずれも都道府県知事が都道府県都市計画審議会の意見を聴いて指定する区域を除く。）若しくは景観法（平成十六年法律第百十号）第七十四条第一項の準景観地区（市町村長が指定する区域を除く。）内又は都道府県知事が関係市町村の意見を聴いてその区域の全部若しくは一部について指定する区域内における建築物</w:t>
      </w:r>
    </w:p>
    <w:p w:rsidR="003D2E3A" w:rsidRPr="003D2E3A" w:rsidRDefault="003D2E3A" w:rsidP="003D2E3A">
      <w:pPr>
        <w:ind w:left="240" w:hangingChars="100" w:hanging="240"/>
        <w:rPr>
          <w:rFonts w:ascii="ＭＳ ゴシック" w:eastAsia="ＭＳ ゴシック" w:hAnsi="ＭＳ ゴシック"/>
          <w:sz w:val="24"/>
          <w:szCs w:val="24"/>
        </w:rPr>
      </w:pPr>
      <w:r w:rsidRPr="003D2E3A">
        <w:rPr>
          <w:rFonts w:ascii="ＭＳ ゴシック" w:eastAsia="ＭＳ ゴシック" w:hAnsi="ＭＳ ゴシック" w:hint="eastAsia"/>
          <w:sz w:val="24"/>
          <w:szCs w:val="24"/>
        </w:rPr>
        <w:t>２　前項の規定は、防火地域及び準防火地域外において建築物を増築し、改築し、又は移転しようとする場合で、その増築、改築又は移転に係る部分の床面積の合計が十平方メートル以内であるときについては、適用しない。</w:t>
      </w:r>
    </w:p>
    <w:p w:rsidR="003D2E3A" w:rsidRPr="003D2E3A" w:rsidRDefault="003D2E3A" w:rsidP="003D2E3A">
      <w:pPr>
        <w:ind w:left="240" w:hangingChars="100" w:hanging="240"/>
        <w:rPr>
          <w:rFonts w:ascii="ＭＳ ゴシック" w:eastAsia="ＭＳ ゴシック" w:hAnsi="ＭＳ ゴシック"/>
          <w:sz w:val="24"/>
          <w:szCs w:val="24"/>
        </w:rPr>
      </w:pPr>
      <w:r w:rsidRPr="003D2E3A">
        <w:rPr>
          <w:rFonts w:ascii="ＭＳ ゴシック" w:eastAsia="ＭＳ ゴシック" w:hAnsi="ＭＳ ゴシック" w:hint="eastAsia"/>
          <w:sz w:val="24"/>
          <w:szCs w:val="24"/>
        </w:rPr>
        <w:t>３～　（略）</w:t>
      </w:r>
    </w:p>
    <w:p w:rsidR="003D2E3A" w:rsidRPr="003D2E3A" w:rsidRDefault="003D2E3A">
      <w:pPr>
        <w:widowControl/>
        <w:jc w:val="left"/>
        <w:rPr>
          <w:rFonts w:ascii="ＭＳ ゴシック" w:eastAsia="ＭＳ ゴシック" w:hAnsi="ＭＳ ゴシック"/>
          <w:sz w:val="24"/>
          <w:szCs w:val="24"/>
        </w:rPr>
      </w:pPr>
      <w:r w:rsidRPr="003D2E3A">
        <w:rPr>
          <w:rFonts w:ascii="ＭＳ ゴシック" w:eastAsia="ＭＳ ゴシック" w:hAnsi="ＭＳ ゴシック"/>
          <w:sz w:val="24"/>
          <w:szCs w:val="24"/>
        </w:rPr>
        <w:br w:type="page"/>
      </w:r>
    </w:p>
    <w:p w:rsidR="003D2E3A" w:rsidRPr="003D2E3A" w:rsidRDefault="003D2E3A" w:rsidP="003D2E3A">
      <w:pPr>
        <w:ind w:left="240" w:hangingChars="100" w:hanging="240"/>
        <w:rPr>
          <w:rFonts w:ascii="ＭＳ ゴシック" w:eastAsia="ＭＳ ゴシック" w:hAnsi="ＭＳ ゴシック"/>
          <w:sz w:val="24"/>
          <w:szCs w:val="24"/>
        </w:rPr>
        <w:sectPr w:rsidR="003D2E3A" w:rsidRPr="003D2E3A" w:rsidSect="003D2E3A">
          <w:pgSz w:w="11906" w:h="16838"/>
          <w:pgMar w:top="1134" w:right="1701" w:bottom="1701" w:left="1701" w:header="851" w:footer="992" w:gutter="0"/>
          <w:cols w:space="425"/>
          <w:docGrid w:type="lines" w:linePitch="360"/>
        </w:sectPr>
      </w:pPr>
    </w:p>
    <w:p w:rsidR="003D2E3A" w:rsidRPr="003D2E3A" w:rsidRDefault="003D2E3A" w:rsidP="003D2E3A">
      <w:pPr>
        <w:ind w:left="240" w:hangingChars="100" w:hanging="240"/>
        <w:rPr>
          <w:rFonts w:ascii="ＭＳ ゴシック" w:eastAsia="ＭＳ ゴシック" w:hAnsi="ＭＳ ゴシック"/>
          <w:sz w:val="24"/>
          <w:szCs w:val="24"/>
        </w:rPr>
      </w:pPr>
      <w:r w:rsidRPr="003D2E3A">
        <w:rPr>
          <w:rFonts w:ascii="ＭＳ ゴシック" w:eastAsia="ＭＳ ゴシック" w:hAnsi="ＭＳ ゴシック" w:hint="eastAsia"/>
          <w:sz w:val="24"/>
          <w:szCs w:val="24"/>
        </w:rPr>
        <w:lastRenderedPageBreak/>
        <w:t>別表第一　耐火建築物等としなければならない特殊建築物（第六条、第二十七条、第二十八条、第三十五条―第三十五条の三、第九十条の三関係）</w:t>
      </w:r>
    </w:p>
    <w:p w:rsidR="003D2E3A" w:rsidRPr="003D2E3A" w:rsidRDefault="003D2E3A" w:rsidP="003D2E3A">
      <w:pPr>
        <w:ind w:left="240" w:hangingChars="100" w:hanging="240"/>
        <w:rPr>
          <w:rFonts w:ascii="ＭＳ ゴシック" w:eastAsia="ＭＳ ゴシック" w:hAnsi="ＭＳ ゴシック"/>
          <w:sz w:val="24"/>
          <w:szCs w:val="24"/>
        </w:rPr>
      </w:pPr>
    </w:p>
    <w:tbl>
      <w:tblPr>
        <w:tblStyle w:val="a3"/>
        <w:tblW w:w="0" w:type="auto"/>
        <w:tblInd w:w="137" w:type="dxa"/>
        <w:tblLayout w:type="fixed"/>
        <w:tblLook w:val="04A0" w:firstRow="1" w:lastRow="0" w:firstColumn="1" w:lastColumn="0" w:noHBand="0" w:noVBand="1"/>
      </w:tblPr>
      <w:tblGrid>
        <w:gridCol w:w="851"/>
        <w:gridCol w:w="4961"/>
        <w:gridCol w:w="1843"/>
        <w:gridCol w:w="4819"/>
        <w:gridCol w:w="1559"/>
      </w:tblGrid>
      <w:tr w:rsidR="003D2E3A" w:rsidRPr="003D2E3A" w:rsidTr="003D2E3A">
        <w:tc>
          <w:tcPr>
            <w:tcW w:w="851" w:type="dxa"/>
            <w:vAlign w:val="center"/>
          </w:tcPr>
          <w:p w:rsidR="003D2E3A" w:rsidRPr="003D2E3A" w:rsidRDefault="003D2E3A" w:rsidP="003D2E3A">
            <w:pPr>
              <w:widowControl/>
              <w:jc w:val="left"/>
              <w:rPr>
                <w:rFonts w:ascii="ＭＳ ゴシック" w:eastAsia="ＭＳ ゴシック" w:hAnsi="ＭＳ ゴシック"/>
                <w:sz w:val="24"/>
                <w:szCs w:val="24"/>
              </w:rPr>
            </w:pPr>
          </w:p>
        </w:tc>
        <w:tc>
          <w:tcPr>
            <w:tcW w:w="4961" w:type="dxa"/>
            <w:vAlign w:val="center"/>
          </w:tcPr>
          <w:p w:rsidR="003D2E3A" w:rsidRPr="003D2E3A" w:rsidRDefault="003D2E3A" w:rsidP="003D2E3A">
            <w:pPr>
              <w:divId w:val="1178302658"/>
              <w:rPr>
                <w:rFonts w:ascii="ＭＳ ゴシック" w:eastAsia="ＭＳ ゴシック" w:hAnsi="ＭＳ ゴシック" w:cs="ＭＳ Ｐゴシック"/>
                <w:sz w:val="24"/>
                <w:szCs w:val="24"/>
              </w:rPr>
            </w:pPr>
            <w:r w:rsidRPr="003D2E3A">
              <w:rPr>
                <w:rFonts w:ascii="ＭＳ ゴシック" w:eastAsia="ＭＳ ゴシック" w:hAnsi="ＭＳ ゴシック"/>
                <w:sz w:val="24"/>
                <w:szCs w:val="24"/>
              </w:rPr>
              <w:t>（い）</w:t>
            </w:r>
          </w:p>
        </w:tc>
        <w:tc>
          <w:tcPr>
            <w:tcW w:w="1843" w:type="dxa"/>
            <w:vAlign w:val="center"/>
          </w:tcPr>
          <w:p w:rsidR="003D2E3A" w:rsidRPr="003D2E3A" w:rsidRDefault="003D2E3A" w:rsidP="003D2E3A">
            <w:pPr>
              <w:divId w:val="1427920776"/>
              <w:rPr>
                <w:rFonts w:ascii="ＭＳ ゴシック" w:eastAsia="ＭＳ ゴシック" w:hAnsi="ＭＳ ゴシック"/>
                <w:sz w:val="24"/>
                <w:szCs w:val="24"/>
              </w:rPr>
            </w:pPr>
            <w:r w:rsidRPr="003D2E3A">
              <w:rPr>
                <w:rFonts w:ascii="ＭＳ ゴシック" w:eastAsia="ＭＳ ゴシック" w:hAnsi="ＭＳ ゴシック"/>
                <w:sz w:val="24"/>
                <w:szCs w:val="24"/>
              </w:rPr>
              <w:t>（ろ）</w:t>
            </w:r>
          </w:p>
        </w:tc>
        <w:tc>
          <w:tcPr>
            <w:tcW w:w="4819" w:type="dxa"/>
            <w:vAlign w:val="center"/>
          </w:tcPr>
          <w:p w:rsidR="003D2E3A" w:rsidRPr="003D2E3A" w:rsidRDefault="003D2E3A" w:rsidP="003D2E3A">
            <w:pPr>
              <w:divId w:val="319308990"/>
              <w:rPr>
                <w:rFonts w:ascii="ＭＳ ゴシック" w:eastAsia="ＭＳ ゴシック" w:hAnsi="ＭＳ ゴシック"/>
                <w:sz w:val="24"/>
                <w:szCs w:val="24"/>
              </w:rPr>
            </w:pPr>
            <w:r w:rsidRPr="003D2E3A">
              <w:rPr>
                <w:rFonts w:ascii="ＭＳ ゴシック" w:eastAsia="ＭＳ ゴシック" w:hAnsi="ＭＳ ゴシック"/>
                <w:sz w:val="24"/>
                <w:szCs w:val="24"/>
              </w:rPr>
              <w:t>（は）</w:t>
            </w:r>
          </w:p>
        </w:tc>
        <w:tc>
          <w:tcPr>
            <w:tcW w:w="1559" w:type="dxa"/>
            <w:vAlign w:val="center"/>
          </w:tcPr>
          <w:p w:rsidR="003D2E3A" w:rsidRPr="003D2E3A" w:rsidRDefault="003D2E3A" w:rsidP="003D2E3A">
            <w:pPr>
              <w:divId w:val="1260874466"/>
              <w:rPr>
                <w:rFonts w:ascii="ＭＳ ゴシック" w:eastAsia="ＭＳ ゴシック" w:hAnsi="ＭＳ ゴシック"/>
                <w:sz w:val="24"/>
                <w:szCs w:val="24"/>
              </w:rPr>
            </w:pPr>
            <w:r w:rsidRPr="003D2E3A">
              <w:rPr>
                <w:rFonts w:ascii="ＭＳ ゴシック" w:eastAsia="ＭＳ ゴシック" w:hAnsi="ＭＳ ゴシック"/>
                <w:sz w:val="24"/>
                <w:szCs w:val="24"/>
              </w:rPr>
              <w:t>（に）</w:t>
            </w:r>
          </w:p>
        </w:tc>
      </w:tr>
      <w:tr w:rsidR="003D2E3A" w:rsidRPr="003D2E3A" w:rsidTr="003D2E3A">
        <w:tc>
          <w:tcPr>
            <w:tcW w:w="851" w:type="dxa"/>
            <w:vAlign w:val="center"/>
          </w:tcPr>
          <w:p w:rsidR="003D2E3A" w:rsidRPr="003D2E3A" w:rsidRDefault="003D2E3A" w:rsidP="003D2E3A">
            <w:pPr>
              <w:rPr>
                <w:rFonts w:ascii="ＭＳ ゴシック" w:eastAsia="ＭＳ ゴシック" w:hAnsi="ＭＳ ゴシック"/>
                <w:sz w:val="24"/>
                <w:szCs w:val="24"/>
              </w:rPr>
            </w:pPr>
          </w:p>
        </w:tc>
        <w:tc>
          <w:tcPr>
            <w:tcW w:w="4961" w:type="dxa"/>
            <w:vAlign w:val="center"/>
          </w:tcPr>
          <w:p w:rsidR="003D2E3A" w:rsidRPr="003D2E3A" w:rsidRDefault="003D2E3A" w:rsidP="003D2E3A">
            <w:pPr>
              <w:divId w:val="146628071"/>
              <w:rPr>
                <w:rFonts w:ascii="ＭＳ ゴシック" w:eastAsia="ＭＳ ゴシック" w:hAnsi="ＭＳ ゴシック" w:cs="ＭＳ Ｐゴシック"/>
                <w:sz w:val="24"/>
                <w:szCs w:val="24"/>
              </w:rPr>
            </w:pPr>
            <w:r w:rsidRPr="003D2E3A">
              <w:rPr>
                <w:rFonts w:ascii="ＭＳ ゴシック" w:eastAsia="ＭＳ ゴシック" w:hAnsi="ＭＳ ゴシック"/>
                <w:sz w:val="24"/>
                <w:szCs w:val="24"/>
              </w:rPr>
              <w:t>用途</w:t>
            </w:r>
          </w:p>
        </w:tc>
        <w:tc>
          <w:tcPr>
            <w:tcW w:w="1843" w:type="dxa"/>
            <w:vAlign w:val="center"/>
          </w:tcPr>
          <w:p w:rsidR="003D2E3A" w:rsidRPr="003D2E3A" w:rsidRDefault="003D2E3A" w:rsidP="003D2E3A">
            <w:pPr>
              <w:divId w:val="263537703"/>
              <w:rPr>
                <w:rFonts w:ascii="ＭＳ ゴシック" w:eastAsia="ＭＳ ゴシック" w:hAnsi="ＭＳ ゴシック"/>
                <w:sz w:val="24"/>
                <w:szCs w:val="24"/>
              </w:rPr>
            </w:pPr>
            <w:r w:rsidRPr="003D2E3A">
              <w:rPr>
                <w:rFonts w:ascii="ＭＳ ゴシック" w:eastAsia="ＭＳ ゴシック" w:hAnsi="ＭＳ ゴシック"/>
                <w:sz w:val="24"/>
                <w:szCs w:val="24"/>
              </w:rPr>
              <w:t>（い）欄の用途に供する階</w:t>
            </w:r>
          </w:p>
        </w:tc>
        <w:tc>
          <w:tcPr>
            <w:tcW w:w="4819" w:type="dxa"/>
            <w:vAlign w:val="center"/>
          </w:tcPr>
          <w:p w:rsidR="003D2E3A" w:rsidRPr="003D2E3A" w:rsidRDefault="003D2E3A" w:rsidP="003D2E3A">
            <w:pPr>
              <w:divId w:val="598029915"/>
              <w:rPr>
                <w:rFonts w:ascii="ＭＳ ゴシック" w:eastAsia="ＭＳ ゴシック" w:hAnsi="ＭＳ ゴシック"/>
                <w:sz w:val="24"/>
                <w:szCs w:val="24"/>
              </w:rPr>
            </w:pPr>
            <w:r w:rsidRPr="003D2E3A">
              <w:rPr>
                <w:rFonts w:ascii="ＭＳ ゴシック" w:eastAsia="ＭＳ ゴシック" w:hAnsi="ＭＳ ゴシック"/>
                <w:sz w:val="24"/>
                <w:szCs w:val="24"/>
              </w:rPr>
              <w:t>（い）欄の用途に供する部分（（一）項の場合にあつては客席、（二）項及び（四）項の場合にあつては二階、（五）項の場合にあつては三階以上の部分に限り、かつ、病院及び診療所についてはその部分に患者の収容施設がある場合に限る。）の床面積の合計</w:t>
            </w:r>
          </w:p>
        </w:tc>
        <w:tc>
          <w:tcPr>
            <w:tcW w:w="1559" w:type="dxa"/>
            <w:vAlign w:val="center"/>
          </w:tcPr>
          <w:p w:rsidR="003D2E3A" w:rsidRPr="003D2E3A" w:rsidRDefault="003D2E3A" w:rsidP="003D2E3A">
            <w:pPr>
              <w:divId w:val="1781872369"/>
              <w:rPr>
                <w:rFonts w:ascii="ＭＳ ゴシック" w:eastAsia="ＭＳ ゴシック" w:hAnsi="ＭＳ ゴシック"/>
                <w:sz w:val="24"/>
                <w:szCs w:val="24"/>
              </w:rPr>
            </w:pPr>
            <w:r w:rsidRPr="003D2E3A">
              <w:rPr>
                <w:rFonts w:ascii="ＭＳ ゴシック" w:eastAsia="ＭＳ ゴシック" w:hAnsi="ＭＳ ゴシック"/>
                <w:sz w:val="24"/>
                <w:szCs w:val="24"/>
              </w:rPr>
              <w:t>（い）欄の用途に供する部分の床面積の合計</w:t>
            </w:r>
          </w:p>
        </w:tc>
      </w:tr>
      <w:tr w:rsidR="003D2E3A" w:rsidRPr="003D2E3A" w:rsidTr="003D2E3A">
        <w:tc>
          <w:tcPr>
            <w:tcW w:w="851" w:type="dxa"/>
            <w:vAlign w:val="center"/>
          </w:tcPr>
          <w:p w:rsidR="003D2E3A" w:rsidRPr="003D2E3A" w:rsidRDefault="003D2E3A" w:rsidP="003D2E3A">
            <w:pPr>
              <w:divId w:val="1319378730"/>
              <w:rPr>
                <w:rFonts w:ascii="ＭＳ ゴシック" w:eastAsia="ＭＳ ゴシック" w:hAnsi="ＭＳ ゴシック"/>
                <w:sz w:val="24"/>
                <w:szCs w:val="24"/>
              </w:rPr>
            </w:pPr>
            <w:r w:rsidRPr="003D2E3A">
              <w:rPr>
                <w:rFonts w:ascii="ＭＳ ゴシック" w:eastAsia="ＭＳ ゴシック" w:hAnsi="ＭＳ ゴシック"/>
                <w:sz w:val="24"/>
                <w:szCs w:val="24"/>
              </w:rPr>
              <w:t>（一）</w:t>
            </w:r>
          </w:p>
        </w:tc>
        <w:tc>
          <w:tcPr>
            <w:tcW w:w="4961" w:type="dxa"/>
            <w:vAlign w:val="center"/>
          </w:tcPr>
          <w:p w:rsidR="003D2E3A" w:rsidRPr="003D2E3A" w:rsidRDefault="003D2E3A" w:rsidP="003D2E3A">
            <w:pPr>
              <w:divId w:val="610942349"/>
              <w:rPr>
                <w:rFonts w:ascii="ＭＳ ゴシック" w:eastAsia="ＭＳ ゴシック" w:hAnsi="ＭＳ ゴシック"/>
                <w:sz w:val="24"/>
                <w:szCs w:val="24"/>
              </w:rPr>
            </w:pPr>
            <w:r w:rsidRPr="003D2E3A">
              <w:rPr>
                <w:rFonts w:ascii="ＭＳ ゴシック" w:eastAsia="ＭＳ ゴシック" w:hAnsi="ＭＳ ゴシック"/>
                <w:sz w:val="24"/>
                <w:szCs w:val="24"/>
              </w:rPr>
              <w:t>劇場、映画館、演芸場、観覧場、公会堂、集会場その他これらに類するもので政令で定めるもの</w:t>
            </w:r>
          </w:p>
        </w:tc>
        <w:tc>
          <w:tcPr>
            <w:tcW w:w="1843" w:type="dxa"/>
            <w:vAlign w:val="center"/>
          </w:tcPr>
          <w:p w:rsidR="003D2E3A" w:rsidRPr="003D2E3A" w:rsidRDefault="003D2E3A" w:rsidP="003D2E3A">
            <w:pPr>
              <w:divId w:val="1654484696"/>
              <w:rPr>
                <w:rFonts w:ascii="ＭＳ ゴシック" w:eastAsia="ＭＳ ゴシック" w:hAnsi="ＭＳ ゴシック"/>
                <w:sz w:val="24"/>
                <w:szCs w:val="24"/>
              </w:rPr>
            </w:pPr>
            <w:r w:rsidRPr="003D2E3A">
              <w:rPr>
                <w:rFonts w:ascii="ＭＳ ゴシック" w:eastAsia="ＭＳ ゴシック" w:hAnsi="ＭＳ ゴシック"/>
                <w:sz w:val="24"/>
                <w:szCs w:val="24"/>
              </w:rPr>
              <w:t>三階以上の階</w:t>
            </w:r>
          </w:p>
        </w:tc>
        <w:tc>
          <w:tcPr>
            <w:tcW w:w="4819" w:type="dxa"/>
            <w:vAlign w:val="center"/>
          </w:tcPr>
          <w:p w:rsidR="003D2E3A" w:rsidRPr="003D2E3A" w:rsidRDefault="003D2E3A" w:rsidP="003D2E3A">
            <w:pPr>
              <w:divId w:val="1939827049"/>
              <w:rPr>
                <w:rFonts w:ascii="ＭＳ ゴシック" w:eastAsia="ＭＳ ゴシック" w:hAnsi="ＭＳ ゴシック"/>
                <w:sz w:val="24"/>
                <w:szCs w:val="24"/>
              </w:rPr>
            </w:pPr>
            <w:r w:rsidRPr="003D2E3A">
              <w:rPr>
                <w:rFonts w:ascii="ＭＳ ゴシック" w:eastAsia="ＭＳ ゴシック" w:hAnsi="ＭＳ ゴシック"/>
                <w:sz w:val="24"/>
                <w:szCs w:val="24"/>
              </w:rPr>
              <w:t>二百平方メートル（屋外観覧席にあつては、千平方メートル）以上</w:t>
            </w:r>
          </w:p>
        </w:tc>
        <w:tc>
          <w:tcPr>
            <w:tcW w:w="1559" w:type="dxa"/>
            <w:vAlign w:val="center"/>
          </w:tcPr>
          <w:p w:rsidR="003D2E3A" w:rsidRPr="003D2E3A" w:rsidRDefault="003D2E3A" w:rsidP="003D2E3A">
            <w:pPr>
              <w:rPr>
                <w:rFonts w:ascii="ＭＳ ゴシック" w:eastAsia="ＭＳ ゴシック" w:hAnsi="ＭＳ ゴシック"/>
                <w:sz w:val="24"/>
                <w:szCs w:val="24"/>
              </w:rPr>
            </w:pPr>
          </w:p>
        </w:tc>
      </w:tr>
      <w:tr w:rsidR="003D2E3A" w:rsidRPr="003D2E3A" w:rsidTr="003D2E3A">
        <w:tc>
          <w:tcPr>
            <w:tcW w:w="851" w:type="dxa"/>
            <w:vAlign w:val="center"/>
          </w:tcPr>
          <w:p w:rsidR="003D2E3A" w:rsidRPr="003D2E3A" w:rsidRDefault="003D2E3A" w:rsidP="003D2E3A">
            <w:pPr>
              <w:divId w:val="14623255"/>
              <w:rPr>
                <w:rFonts w:ascii="ＭＳ ゴシック" w:eastAsia="ＭＳ ゴシック" w:hAnsi="ＭＳ ゴシック" w:cs="ＭＳ Ｐゴシック"/>
                <w:sz w:val="24"/>
                <w:szCs w:val="24"/>
              </w:rPr>
            </w:pPr>
            <w:r w:rsidRPr="003D2E3A">
              <w:rPr>
                <w:rFonts w:ascii="ＭＳ ゴシック" w:eastAsia="ＭＳ ゴシック" w:hAnsi="ＭＳ ゴシック"/>
                <w:sz w:val="24"/>
                <w:szCs w:val="24"/>
              </w:rPr>
              <w:t>（二）</w:t>
            </w:r>
          </w:p>
        </w:tc>
        <w:tc>
          <w:tcPr>
            <w:tcW w:w="4961" w:type="dxa"/>
            <w:vAlign w:val="center"/>
          </w:tcPr>
          <w:p w:rsidR="003D2E3A" w:rsidRPr="003D2E3A" w:rsidRDefault="003D2E3A" w:rsidP="003D2E3A">
            <w:pPr>
              <w:divId w:val="1628968791"/>
              <w:rPr>
                <w:rFonts w:ascii="ＭＳ ゴシック" w:eastAsia="ＭＳ ゴシック" w:hAnsi="ＭＳ ゴシック"/>
                <w:sz w:val="24"/>
                <w:szCs w:val="24"/>
              </w:rPr>
            </w:pPr>
            <w:r w:rsidRPr="003D2E3A">
              <w:rPr>
                <w:rFonts w:ascii="ＭＳ ゴシック" w:eastAsia="ＭＳ ゴシック" w:hAnsi="ＭＳ ゴシック"/>
                <w:sz w:val="24"/>
                <w:szCs w:val="24"/>
              </w:rPr>
              <w:t>病院、診療所（患者の収容施設があるものに限る。）、ホテル、旅館、下宿、共同住宅、寄宿舎その他これらに類するもので政令で定めるもの</w:t>
            </w:r>
          </w:p>
        </w:tc>
        <w:tc>
          <w:tcPr>
            <w:tcW w:w="1843" w:type="dxa"/>
            <w:vAlign w:val="center"/>
          </w:tcPr>
          <w:p w:rsidR="003D2E3A" w:rsidRPr="003D2E3A" w:rsidRDefault="003D2E3A" w:rsidP="003D2E3A">
            <w:pPr>
              <w:divId w:val="1743290287"/>
              <w:rPr>
                <w:rFonts w:ascii="ＭＳ ゴシック" w:eastAsia="ＭＳ ゴシック" w:hAnsi="ＭＳ ゴシック"/>
                <w:sz w:val="24"/>
                <w:szCs w:val="24"/>
              </w:rPr>
            </w:pPr>
            <w:r w:rsidRPr="003D2E3A">
              <w:rPr>
                <w:rFonts w:ascii="ＭＳ ゴシック" w:eastAsia="ＭＳ ゴシック" w:hAnsi="ＭＳ ゴシック"/>
                <w:sz w:val="24"/>
                <w:szCs w:val="24"/>
              </w:rPr>
              <w:t>三階以上の階</w:t>
            </w:r>
          </w:p>
        </w:tc>
        <w:tc>
          <w:tcPr>
            <w:tcW w:w="4819" w:type="dxa"/>
            <w:vAlign w:val="center"/>
          </w:tcPr>
          <w:p w:rsidR="003D2E3A" w:rsidRPr="003D2E3A" w:rsidRDefault="003D2E3A" w:rsidP="003D2E3A">
            <w:pPr>
              <w:divId w:val="431560372"/>
              <w:rPr>
                <w:rFonts w:ascii="ＭＳ ゴシック" w:eastAsia="ＭＳ ゴシック" w:hAnsi="ＭＳ ゴシック"/>
                <w:sz w:val="24"/>
                <w:szCs w:val="24"/>
              </w:rPr>
            </w:pPr>
            <w:r w:rsidRPr="003D2E3A">
              <w:rPr>
                <w:rFonts w:ascii="ＭＳ ゴシック" w:eastAsia="ＭＳ ゴシック" w:hAnsi="ＭＳ ゴシック"/>
                <w:sz w:val="24"/>
                <w:szCs w:val="24"/>
              </w:rPr>
              <w:t>三百平方メートル以上</w:t>
            </w:r>
          </w:p>
        </w:tc>
        <w:tc>
          <w:tcPr>
            <w:tcW w:w="1559" w:type="dxa"/>
            <w:vAlign w:val="center"/>
          </w:tcPr>
          <w:p w:rsidR="003D2E3A" w:rsidRPr="003D2E3A" w:rsidRDefault="003D2E3A" w:rsidP="003D2E3A">
            <w:pPr>
              <w:rPr>
                <w:rFonts w:ascii="ＭＳ ゴシック" w:eastAsia="ＭＳ ゴシック" w:hAnsi="ＭＳ ゴシック"/>
                <w:sz w:val="24"/>
                <w:szCs w:val="24"/>
              </w:rPr>
            </w:pPr>
          </w:p>
        </w:tc>
      </w:tr>
      <w:tr w:rsidR="003D2E3A" w:rsidRPr="003D2E3A" w:rsidTr="003D2E3A">
        <w:tc>
          <w:tcPr>
            <w:tcW w:w="851" w:type="dxa"/>
            <w:vAlign w:val="center"/>
          </w:tcPr>
          <w:p w:rsidR="003D2E3A" w:rsidRPr="003D2E3A" w:rsidRDefault="003D2E3A" w:rsidP="003D2E3A">
            <w:pPr>
              <w:divId w:val="135725773"/>
              <w:rPr>
                <w:rFonts w:ascii="ＭＳ ゴシック" w:eastAsia="ＭＳ ゴシック" w:hAnsi="ＭＳ ゴシック" w:cs="ＭＳ Ｐゴシック"/>
                <w:sz w:val="24"/>
                <w:szCs w:val="24"/>
              </w:rPr>
            </w:pPr>
            <w:r w:rsidRPr="003D2E3A">
              <w:rPr>
                <w:rFonts w:ascii="ＭＳ ゴシック" w:eastAsia="ＭＳ ゴシック" w:hAnsi="ＭＳ ゴシック"/>
                <w:sz w:val="24"/>
                <w:szCs w:val="24"/>
              </w:rPr>
              <w:t>（三）</w:t>
            </w:r>
          </w:p>
        </w:tc>
        <w:tc>
          <w:tcPr>
            <w:tcW w:w="4961" w:type="dxa"/>
            <w:vAlign w:val="center"/>
          </w:tcPr>
          <w:p w:rsidR="003D2E3A" w:rsidRPr="003D2E3A" w:rsidRDefault="003D2E3A" w:rsidP="003D2E3A">
            <w:pPr>
              <w:divId w:val="1745489233"/>
              <w:rPr>
                <w:rFonts w:ascii="ＭＳ ゴシック" w:eastAsia="ＭＳ ゴシック" w:hAnsi="ＭＳ ゴシック"/>
                <w:sz w:val="24"/>
                <w:szCs w:val="24"/>
              </w:rPr>
            </w:pPr>
            <w:r w:rsidRPr="003D2E3A">
              <w:rPr>
                <w:rFonts w:ascii="ＭＳ ゴシック" w:eastAsia="ＭＳ ゴシック" w:hAnsi="ＭＳ ゴシック"/>
                <w:sz w:val="24"/>
                <w:szCs w:val="24"/>
              </w:rPr>
              <w:t>学校、体育館その他これらに類するもので政令で定めるもの</w:t>
            </w:r>
          </w:p>
        </w:tc>
        <w:tc>
          <w:tcPr>
            <w:tcW w:w="1843" w:type="dxa"/>
            <w:vAlign w:val="center"/>
          </w:tcPr>
          <w:p w:rsidR="003D2E3A" w:rsidRPr="003D2E3A" w:rsidRDefault="003D2E3A" w:rsidP="003D2E3A">
            <w:pPr>
              <w:divId w:val="1503012201"/>
              <w:rPr>
                <w:rFonts w:ascii="ＭＳ ゴシック" w:eastAsia="ＭＳ ゴシック" w:hAnsi="ＭＳ ゴシック"/>
                <w:sz w:val="24"/>
                <w:szCs w:val="24"/>
              </w:rPr>
            </w:pPr>
            <w:r w:rsidRPr="003D2E3A">
              <w:rPr>
                <w:rFonts w:ascii="ＭＳ ゴシック" w:eastAsia="ＭＳ ゴシック" w:hAnsi="ＭＳ ゴシック"/>
                <w:sz w:val="24"/>
                <w:szCs w:val="24"/>
              </w:rPr>
              <w:t>三階以上の階</w:t>
            </w:r>
          </w:p>
        </w:tc>
        <w:tc>
          <w:tcPr>
            <w:tcW w:w="4819" w:type="dxa"/>
            <w:vAlign w:val="center"/>
          </w:tcPr>
          <w:p w:rsidR="003D2E3A" w:rsidRPr="003D2E3A" w:rsidRDefault="003D2E3A" w:rsidP="003D2E3A">
            <w:pPr>
              <w:divId w:val="909148040"/>
              <w:rPr>
                <w:rFonts w:ascii="ＭＳ ゴシック" w:eastAsia="ＭＳ ゴシック" w:hAnsi="ＭＳ ゴシック"/>
                <w:sz w:val="24"/>
                <w:szCs w:val="24"/>
              </w:rPr>
            </w:pPr>
            <w:r w:rsidRPr="003D2E3A">
              <w:rPr>
                <w:rFonts w:ascii="ＭＳ ゴシック" w:eastAsia="ＭＳ ゴシック" w:hAnsi="ＭＳ ゴシック"/>
                <w:sz w:val="24"/>
                <w:szCs w:val="24"/>
              </w:rPr>
              <w:t>二千平方メートル以上</w:t>
            </w:r>
          </w:p>
        </w:tc>
        <w:tc>
          <w:tcPr>
            <w:tcW w:w="1559" w:type="dxa"/>
            <w:vAlign w:val="center"/>
          </w:tcPr>
          <w:p w:rsidR="003D2E3A" w:rsidRPr="003D2E3A" w:rsidRDefault="003D2E3A" w:rsidP="003D2E3A">
            <w:pPr>
              <w:rPr>
                <w:rFonts w:ascii="ＭＳ ゴシック" w:eastAsia="ＭＳ ゴシック" w:hAnsi="ＭＳ ゴシック"/>
                <w:sz w:val="24"/>
                <w:szCs w:val="24"/>
              </w:rPr>
            </w:pPr>
          </w:p>
        </w:tc>
      </w:tr>
      <w:tr w:rsidR="003D2E3A" w:rsidRPr="003D2E3A" w:rsidTr="003D2E3A">
        <w:tc>
          <w:tcPr>
            <w:tcW w:w="851" w:type="dxa"/>
            <w:vAlign w:val="center"/>
          </w:tcPr>
          <w:p w:rsidR="003D2E3A" w:rsidRPr="003D2E3A" w:rsidRDefault="003D2E3A" w:rsidP="003D2E3A">
            <w:pPr>
              <w:divId w:val="852449987"/>
              <w:rPr>
                <w:rFonts w:ascii="ＭＳ ゴシック" w:eastAsia="ＭＳ ゴシック" w:hAnsi="ＭＳ ゴシック" w:cs="ＭＳ Ｐゴシック"/>
                <w:sz w:val="24"/>
                <w:szCs w:val="24"/>
              </w:rPr>
            </w:pPr>
            <w:r w:rsidRPr="003D2E3A">
              <w:rPr>
                <w:rFonts w:ascii="ＭＳ ゴシック" w:eastAsia="ＭＳ ゴシック" w:hAnsi="ＭＳ ゴシック"/>
                <w:sz w:val="24"/>
                <w:szCs w:val="24"/>
              </w:rPr>
              <w:t>（四）</w:t>
            </w:r>
          </w:p>
        </w:tc>
        <w:tc>
          <w:tcPr>
            <w:tcW w:w="4961" w:type="dxa"/>
            <w:vAlign w:val="center"/>
          </w:tcPr>
          <w:p w:rsidR="003D2E3A" w:rsidRPr="003D2E3A" w:rsidRDefault="003D2E3A" w:rsidP="003D2E3A">
            <w:pPr>
              <w:divId w:val="124206160"/>
              <w:rPr>
                <w:rFonts w:ascii="ＭＳ ゴシック" w:eastAsia="ＭＳ ゴシック" w:hAnsi="ＭＳ ゴシック"/>
                <w:sz w:val="24"/>
                <w:szCs w:val="24"/>
              </w:rPr>
            </w:pPr>
            <w:r w:rsidRPr="003D2E3A">
              <w:rPr>
                <w:rFonts w:ascii="ＭＳ ゴシック" w:eastAsia="ＭＳ ゴシック" w:hAnsi="ＭＳ ゴシック"/>
                <w:sz w:val="24"/>
                <w:szCs w:val="24"/>
              </w:rPr>
              <w:t>百貨店、マーケット、展示場、キャバレー、カフェー、ナイトクラブ、バー、ダンスホール、遊技場その他これらに類するもので政令で定めるもの</w:t>
            </w:r>
          </w:p>
        </w:tc>
        <w:tc>
          <w:tcPr>
            <w:tcW w:w="1843" w:type="dxa"/>
            <w:vAlign w:val="center"/>
          </w:tcPr>
          <w:p w:rsidR="003D2E3A" w:rsidRPr="003D2E3A" w:rsidRDefault="003D2E3A" w:rsidP="003D2E3A">
            <w:pPr>
              <w:divId w:val="1538011535"/>
              <w:rPr>
                <w:rFonts w:ascii="ＭＳ ゴシック" w:eastAsia="ＭＳ ゴシック" w:hAnsi="ＭＳ ゴシック"/>
                <w:sz w:val="24"/>
                <w:szCs w:val="24"/>
              </w:rPr>
            </w:pPr>
            <w:r w:rsidRPr="003D2E3A">
              <w:rPr>
                <w:rFonts w:ascii="ＭＳ ゴシック" w:eastAsia="ＭＳ ゴシック" w:hAnsi="ＭＳ ゴシック"/>
                <w:sz w:val="24"/>
                <w:szCs w:val="24"/>
              </w:rPr>
              <w:t>三階以上の階</w:t>
            </w:r>
          </w:p>
        </w:tc>
        <w:tc>
          <w:tcPr>
            <w:tcW w:w="4819" w:type="dxa"/>
            <w:vAlign w:val="center"/>
          </w:tcPr>
          <w:p w:rsidR="003D2E3A" w:rsidRPr="003D2E3A" w:rsidRDefault="003D2E3A" w:rsidP="003D2E3A">
            <w:pPr>
              <w:divId w:val="1563980635"/>
              <w:rPr>
                <w:rFonts w:ascii="ＭＳ ゴシック" w:eastAsia="ＭＳ ゴシック" w:hAnsi="ＭＳ ゴシック"/>
                <w:sz w:val="24"/>
                <w:szCs w:val="24"/>
              </w:rPr>
            </w:pPr>
            <w:r w:rsidRPr="003D2E3A">
              <w:rPr>
                <w:rFonts w:ascii="ＭＳ ゴシック" w:eastAsia="ＭＳ ゴシック" w:hAnsi="ＭＳ ゴシック"/>
                <w:sz w:val="24"/>
                <w:szCs w:val="24"/>
              </w:rPr>
              <w:t>五百平方メートル以上</w:t>
            </w:r>
          </w:p>
        </w:tc>
        <w:tc>
          <w:tcPr>
            <w:tcW w:w="1559" w:type="dxa"/>
            <w:vAlign w:val="center"/>
          </w:tcPr>
          <w:p w:rsidR="003D2E3A" w:rsidRPr="003D2E3A" w:rsidRDefault="003D2E3A" w:rsidP="003D2E3A">
            <w:pPr>
              <w:rPr>
                <w:rFonts w:ascii="ＭＳ ゴシック" w:eastAsia="ＭＳ ゴシック" w:hAnsi="ＭＳ ゴシック"/>
                <w:sz w:val="24"/>
                <w:szCs w:val="24"/>
              </w:rPr>
            </w:pPr>
          </w:p>
        </w:tc>
      </w:tr>
      <w:tr w:rsidR="003D2E3A" w:rsidRPr="003D2E3A" w:rsidTr="003D2E3A">
        <w:tc>
          <w:tcPr>
            <w:tcW w:w="851" w:type="dxa"/>
            <w:vAlign w:val="center"/>
          </w:tcPr>
          <w:p w:rsidR="003D2E3A" w:rsidRPr="003D2E3A" w:rsidRDefault="003D2E3A" w:rsidP="003D2E3A">
            <w:pPr>
              <w:divId w:val="353194307"/>
              <w:rPr>
                <w:rFonts w:ascii="ＭＳ ゴシック" w:eastAsia="ＭＳ ゴシック" w:hAnsi="ＭＳ ゴシック" w:cs="ＭＳ Ｐゴシック"/>
                <w:sz w:val="24"/>
                <w:szCs w:val="24"/>
              </w:rPr>
            </w:pPr>
            <w:r w:rsidRPr="003D2E3A">
              <w:rPr>
                <w:rFonts w:ascii="ＭＳ ゴシック" w:eastAsia="ＭＳ ゴシック" w:hAnsi="ＭＳ ゴシック"/>
                <w:sz w:val="24"/>
                <w:szCs w:val="24"/>
              </w:rPr>
              <w:lastRenderedPageBreak/>
              <w:t>（五）</w:t>
            </w:r>
          </w:p>
        </w:tc>
        <w:tc>
          <w:tcPr>
            <w:tcW w:w="4961" w:type="dxa"/>
            <w:vAlign w:val="center"/>
          </w:tcPr>
          <w:p w:rsidR="003D2E3A" w:rsidRPr="003D2E3A" w:rsidRDefault="003D2E3A" w:rsidP="003D2E3A">
            <w:pPr>
              <w:divId w:val="565846581"/>
              <w:rPr>
                <w:rFonts w:ascii="ＭＳ ゴシック" w:eastAsia="ＭＳ ゴシック" w:hAnsi="ＭＳ ゴシック"/>
                <w:sz w:val="24"/>
                <w:szCs w:val="24"/>
              </w:rPr>
            </w:pPr>
            <w:r w:rsidRPr="003D2E3A">
              <w:rPr>
                <w:rFonts w:ascii="ＭＳ ゴシック" w:eastAsia="ＭＳ ゴシック" w:hAnsi="ＭＳ ゴシック"/>
                <w:sz w:val="24"/>
                <w:szCs w:val="24"/>
              </w:rPr>
              <w:t>倉庫その他これに類するもので政令で定めるもの</w:t>
            </w:r>
          </w:p>
        </w:tc>
        <w:tc>
          <w:tcPr>
            <w:tcW w:w="1843" w:type="dxa"/>
            <w:vAlign w:val="center"/>
          </w:tcPr>
          <w:p w:rsidR="003D2E3A" w:rsidRPr="003D2E3A" w:rsidRDefault="003D2E3A" w:rsidP="003D2E3A">
            <w:pPr>
              <w:rPr>
                <w:rFonts w:ascii="ＭＳ ゴシック" w:eastAsia="ＭＳ ゴシック" w:hAnsi="ＭＳ ゴシック"/>
                <w:sz w:val="24"/>
                <w:szCs w:val="24"/>
              </w:rPr>
            </w:pPr>
          </w:p>
        </w:tc>
        <w:tc>
          <w:tcPr>
            <w:tcW w:w="4819" w:type="dxa"/>
            <w:vAlign w:val="center"/>
          </w:tcPr>
          <w:p w:rsidR="003D2E3A" w:rsidRPr="003D2E3A" w:rsidRDefault="003D2E3A" w:rsidP="003D2E3A">
            <w:pPr>
              <w:divId w:val="1757706731"/>
              <w:rPr>
                <w:rFonts w:ascii="ＭＳ ゴシック" w:eastAsia="ＭＳ ゴシック" w:hAnsi="ＭＳ ゴシック" w:cs="ＭＳ Ｐゴシック"/>
                <w:sz w:val="24"/>
                <w:szCs w:val="24"/>
              </w:rPr>
            </w:pPr>
            <w:r w:rsidRPr="003D2E3A">
              <w:rPr>
                <w:rFonts w:ascii="ＭＳ ゴシック" w:eastAsia="ＭＳ ゴシック" w:hAnsi="ＭＳ ゴシック"/>
                <w:sz w:val="24"/>
                <w:szCs w:val="24"/>
              </w:rPr>
              <w:t>二百平方メートル以上</w:t>
            </w:r>
          </w:p>
        </w:tc>
        <w:tc>
          <w:tcPr>
            <w:tcW w:w="1559" w:type="dxa"/>
            <w:vAlign w:val="center"/>
          </w:tcPr>
          <w:p w:rsidR="003D2E3A" w:rsidRPr="003D2E3A" w:rsidRDefault="003D2E3A" w:rsidP="003D2E3A">
            <w:pPr>
              <w:divId w:val="1266696688"/>
              <w:rPr>
                <w:rFonts w:ascii="ＭＳ ゴシック" w:eastAsia="ＭＳ ゴシック" w:hAnsi="ＭＳ ゴシック"/>
                <w:sz w:val="24"/>
                <w:szCs w:val="24"/>
              </w:rPr>
            </w:pPr>
            <w:r w:rsidRPr="003D2E3A">
              <w:rPr>
                <w:rFonts w:ascii="ＭＳ ゴシック" w:eastAsia="ＭＳ ゴシック" w:hAnsi="ＭＳ ゴシック"/>
                <w:sz w:val="24"/>
                <w:szCs w:val="24"/>
              </w:rPr>
              <w:t>千五百平方メートル以上</w:t>
            </w:r>
          </w:p>
        </w:tc>
      </w:tr>
    </w:tbl>
    <w:p w:rsidR="003D2E3A" w:rsidRPr="003D2E3A" w:rsidRDefault="003D2E3A" w:rsidP="003D2E3A">
      <w:pPr>
        <w:ind w:left="240" w:hangingChars="100" w:hanging="240"/>
        <w:rPr>
          <w:rFonts w:ascii="ＭＳ ゴシック" w:eastAsia="ＭＳ ゴシック" w:hAnsi="ＭＳ ゴシック"/>
          <w:sz w:val="24"/>
          <w:szCs w:val="24"/>
        </w:rPr>
      </w:pPr>
    </w:p>
    <w:sectPr w:rsidR="003D2E3A" w:rsidRPr="003D2E3A" w:rsidSect="003D2E3A">
      <w:pgSz w:w="16838" w:h="11906" w:orient="landscape"/>
      <w:pgMar w:top="1701" w:right="1387"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3A"/>
    <w:rsid w:val="001712E6"/>
    <w:rsid w:val="003D2E3A"/>
    <w:rsid w:val="003E6DB3"/>
    <w:rsid w:val="00842C78"/>
    <w:rsid w:val="00BF2B79"/>
    <w:rsid w:val="00CA5B5F"/>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9022EC5-9A80-4E74-B0A1-35C07430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2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2C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2C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62106">
      <w:bodyDiv w:val="1"/>
      <w:marLeft w:val="0"/>
      <w:marRight w:val="0"/>
      <w:marTop w:val="0"/>
      <w:marBottom w:val="0"/>
      <w:divBdr>
        <w:top w:val="none" w:sz="0" w:space="0" w:color="auto"/>
        <w:left w:val="none" w:sz="0" w:space="0" w:color="auto"/>
        <w:bottom w:val="none" w:sz="0" w:space="0" w:color="auto"/>
        <w:right w:val="none" w:sz="0" w:space="0" w:color="auto"/>
      </w:divBdr>
      <w:divsChild>
        <w:div w:id="2104455424">
          <w:marLeft w:val="0"/>
          <w:marRight w:val="0"/>
          <w:marTop w:val="0"/>
          <w:marBottom w:val="0"/>
          <w:divBdr>
            <w:top w:val="none" w:sz="0" w:space="0" w:color="auto"/>
            <w:left w:val="none" w:sz="0" w:space="0" w:color="auto"/>
            <w:bottom w:val="none" w:sz="0" w:space="0" w:color="auto"/>
            <w:right w:val="none" w:sz="0" w:space="0" w:color="auto"/>
          </w:divBdr>
          <w:divsChild>
            <w:div w:id="1247298675">
              <w:marLeft w:val="0"/>
              <w:marRight w:val="0"/>
              <w:marTop w:val="0"/>
              <w:marBottom w:val="0"/>
              <w:divBdr>
                <w:top w:val="none" w:sz="0" w:space="0" w:color="auto"/>
                <w:left w:val="none" w:sz="0" w:space="0" w:color="auto"/>
                <w:bottom w:val="none" w:sz="0" w:space="0" w:color="auto"/>
                <w:right w:val="none" w:sz="0" w:space="0" w:color="auto"/>
              </w:divBdr>
              <w:divsChild>
                <w:div w:id="815147663">
                  <w:marLeft w:val="0"/>
                  <w:marRight w:val="0"/>
                  <w:marTop w:val="0"/>
                  <w:marBottom w:val="0"/>
                  <w:divBdr>
                    <w:top w:val="none" w:sz="0" w:space="0" w:color="auto"/>
                    <w:left w:val="none" w:sz="0" w:space="0" w:color="auto"/>
                    <w:bottom w:val="none" w:sz="0" w:space="0" w:color="auto"/>
                    <w:right w:val="none" w:sz="0" w:space="0" w:color="auto"/>
                  </w:divBdr>
                  <w:divsChild>
                    <w:div w:id="268659634">
                      <w:marLeft w:val="0"/>
                      <w:marRight w:val="0"/>
                      <w:marTop w:val="0"/>
                      <w:marBottom w:val="0"/>
                      <w:divBdr>
                        <w:top w:val="none" w:sz="0" w:space="0" w:color="auto"/>
                        <w:left w:val="none" w:sz="0" w:space="0" w:color="auto"/>
                        <w:bottom w:val="none" w:sz="0" w:space="0" w:color="auto"/>
                        <w:right w:val="none" w:sz="0" w:space="0" w:color="auto"/>
                      </w:divBdr>
                      <w:divsChild>
                        <w:div w:id="175996487">
                          <w:marLeft w:val="0"/>
                          <w:marRight w:val="0"/>
                          <w:marTop w:val="0"/>
                          <w:marBottom w:val="0"/>
                          <w:divBdr>
                            <w:top w:val="none" w:sz="0" w:space="0" w:color="auto"/>
                            <w:left w:val="none" w:sz="0" w:space="0" w:color="auto"/>
                            <w:bottom w:val="none" w:sz="0" w:space="0" w:color="auto"/>
                            <w:right w:val="none" w:sz="0" w:space="0" w:color="auto"/>
                          </w:divBdr>
                          <w:divsChild>
                            <w:div w:id="53358292">
                              <w:marLeft w:val="0"/>
                              <w:marRight w:val="0"/>
                              <w:marTop w:val="0"/>
                              <w:marBottom w:val="0"/>
                              <w:divBdr>
                                <w:top w:val="none" w:sz="0" w:space="0" w:color="auto"/>
                                <w:left w:val="none" w:sz="0" w:space="0" w:color="auto"/>
                                <w:bottom w:val="none" w:sz="0" w:space="0" w:color="auto"/>
                                <w:right w:val="none" w:sz="0" w:space="0" w:color="auto"/>
                              </w:divBdr>
                              <w:divsChild>
                                <w:div w:id="342904858">
                                  <w:marLeft w:val="0"/>
                                  <w:marRight w:val="0"/>
                                  <w:marTop w:val="0"/>
                                  <w:marBottom w:val="0"/>
                                  <w:divBdr>
                                    <w:top w:val="none" w:sz="0" w:space="0" w:color="auto"/>
                                    <w:left w:val="none" w:sz="0" w:space="0" w:color="auto"/>
                                    <w:bottom w:val="none" w:sz="0" w:space="0" w:color="auto"/>
                                    <w:right w:val="none" w:sz="0" w:space="0" w:color="auto"/>
                                  </w:divBdr>
                                  <w:divsChild>
                                    <w:div w:id="1178302658">
                                      <w:marLeft w:val="0"/>
                                      <w:marRight w:val="0"/>
                                      <w:marTop w:val="0"/>
                                      <w:marBottom w:val="0"/>
                                      <w:divBdr>
                                        <w:top w:val="none" w:sz="0" w:space="0" w:color="auto"/>
                                        <w:left w:val="none" w:sz="0" w:space="0" w:color="auto"/>
                                        <w:bottom w:val="none" w:sz="0" w:space="0" w:color="auto"/>
                                        <w:right w:val="none" w:sz="0" w:space="0" w:color="auto"/>
                                      </w:divBdr>
                                    </w:div>
                                    <w:div w:id="1427920776">
                                      <w:marLeft w:val="0"/>
                                      <w:marRight w:val="0"/>
                                      <w:marTop w:val="0"/>
                                      <w:marBottom w:val="0"/>
                                      <w:divBdr>
                                        <w:top w:val="none" w:sz="0" w:space="0" w:color="auto"/>
                                        <w:left w:val="none" w:sz="0" w:space="0" w:color="auto"/>
                                        <w:bottom w:val="none" w:sz="0" w:space="0" w:color="auto"/>
                                        <w:right w:val="none" w:sz="0" w:space="0" w:color="auto"/>
                                      </w:divBdr>
                                    </w:div>
                                    <w:div w:id="319308990">
                                      <w:marLeft w:val="0"/>
                                      <w:marRight w:val="0"/>
                                      <w:marTop w:val="0"/>
                                      <w:marBottom w:val="0"/>
                                      <w:divBdr>
                                        <w:top w:val="none" w:sz="0" w:space="0" w:color="auto"/>
                                        <w:left w:val="none" w:sz="0" w:space="0" w:color="auto"/>
                                        <w:bottom w:val="none" w:sz="0" w:space="0" w:color="auto"/>
                                        <w:right w:val="none" w:sz="0" w:space="0" w:color="auto"/>
                                      </w:divBdr>
                                    </w:div>
                                    <w:div w:id="1260874466">
                                      <w:marLeft w:val="0"/>
                                      <w:marRight w:val="0"/>
                                      <w:marTop w:val="0"/>
                                      <w:marBottom w:val="0"/>
                                      <w:divBdr>
                                        <w:top w:val="none" w:sz="0" w:space="0" w:color="auto"/>
                                        <w:left w:val="none" w:sz="0" w:space="0" w:color="auto"/>
                                        <w:bottom w:val="none" w:sz="0" w:space="0" w:color="auto"/>
                                        <w:right w:val="none" w:sz="0" w:space="0" w:color="auto"/>
                                      </w:divBdr>
                                    </w:div>
                                    <w:div w:id="146628071">
                                      <w:marLeft w:val="0"/>
                                      <w:marRight w:val="0"/>
                                      <w:marTop w:val="0"/>
                                      <w:marBottom w:val="0"/>
                                      <w:divBdr>
                                        <w:top w:val="none" w:sz="0" w:space="0" w:color="auto"/>
                                        <w:left w:val="none" w:sz="0" w:space="0" w:color="auto"/>
                                        <w:bottom w:val="none" w:sz="0" w:space="0" w:color="auto"/>
                                        <w:right w:val="none" w:sz="0" w:space="0" w:color="auto"/>
                                      </w:divBdr>
                                    </w:div>
                                    <w:div w:id="263537703">
                                      <w:marLeft w:val="0"/>
                                      <w:marRight w:val="0"/>
                                      <w:marTop w:val="0"/>
                                      <w:marBottom w:val="0"/>
                                      <w:divBdr>
                                        <w:top w:val="none" w:sz="0" w:space="0" w:color="auto"/>
                                        <w:left w:val="none" w:sz="0" w:space="0" w:color="auto"/>
                                        <w:bottom w:val="none" w:sz="0" w:space="0" w:color="auto"/>
                                        <w:right w:val="none" w:sz="0" w:space="0" w:color="auto"/>
                                      </w:divBdr>
                                    </w:div>
                                    <w:div w:id="598029915">
                                      <w:marLeft w:val="0"/>
                                      <w:marRight w:val="0"/>
                                      <w:marTop w:val="0"/>
                                      <w:marBottom w:val="0"/>
                                      <w:divBdr>
                                        <w:top w:val="none" w:sz="0" w:space="0" w:color="auto"/>
                                        <w:left w:val="none" w:sz="0" w:space="0" w:color="auto"/>
                                        <w:bottom w:val="none" w:sz="0" w:space="0" w:color="auto"/>
                                        <w:right w:val="none" w:sz="0" w:space="0" w:color="auto"/>
                                      </w:divBdr>
                                    </w:div>
                                    <w:div w:id="1781872369">
                                      <w:marLeft w:val="0"/>
                                      <w:marRight w:val="0"/>
                                      <w:marTop w:val="0"/>
                                      <w:marBottom w:val="0"/>
                                      <w:divBdr>
                                        <w:top w:val="none" w:sz="0" w:space="0" w:color="auto"/>
                                        <w:left w:val="none" w:sz="0" w:space="0" w:color="auto"/>
                                        <w:bottom w:val="none" w:sz="0" w:space="0" w:color="auto"/>
                                        <w:right w:val="none" w:sz="0" w:space="0" w:color="auto"/>
                                      </w:divBdr>
                                    </w:div>
                                    <w:div w:id="1319378730">
                                      <w:marLeft w:val="0"/>
                                      <w:marRight w:val="0"/>
                                      <w:marTop w:val="0"/>
                                      <w:marBottom w:val="0"/>
                                      <w:divBdr>
                                        <w:top w:val="none" w:sz="0" w:space="0" w:color="auto"/>
                                        <w:left w:val="none" w:sz="0" w:space="0" w:color="auto"/>
                                        <w:bottom w:val="none" w:sz="0" w:space="0" w:color="auto"/>
                                        <w:right w:val="none" w:sz="0" w:space="0" w:color="auto"/>
                                      </w:divBdr>
                                    </w:div>
                                    <w:div w:id="610942349">
                                      <w:marLeft w:val="0"/>
                                      <w:marRight w:val="0"/>
                                      <w:marTop w:val="0"/>
                                      <w:marBottom w:val="0"/>
                                      <w:divBdr>
                                        <w:top w:val="none" w:sz="0" w:space="0" w:color="auto"/>
                                        <w:left w:val="none" w:sz="0" w:space="0" w:color="auto"/>
                                        <w:bottom w:val="none" w:sz="0" w:space="0" w:color="auto"/>
                                        <w:right w:val="none" w:sz="0" w:space="0" w:color="auto"/>
                                      </w:divBdr>
                                    </w:div>
                                    <w:div w:id="1654484696">
                                      <w:marLeft w:val="0"/>
                                      <w:marRight w:val="0"/>
                                      <w:marTop w:val="0"/>
                                      <w:marBottom w:val="0"/>
                                      <w:divBdr>
                                        <w:top w:val="none" w:sz="0" w:space="0" w:color="auto"/>
                                        <w:left w:val="none" w:sz="0" w:space="0" w:color="auto"/>
                                        <w:bottom w:val="none" w:sz="0" w:space="0" w:color="auto"/>
                                        <w:right w:val="none" w:sz="0" w:space="0" w:color="auto"/>
                                      </w:divBdr>
                                    </w:div>
                                    <w:div w:id="1939827049">
                                      <w:marLeft w:val="0"/>
                                      <w:marRight w:val="0"/>
                                      <w:marTop w:val="0"/>
                                      <w:marBottom w:val="0"/>
                                      <w:divBdr>
                                        <w:top w:val="none" w:sz="0" w:space="0" w:color="auto"/>
                                        <w:left w:val="none" w:sz="0" w:space="0" w:color="auto"/>
                                        <w:bottom w:val="none" w:sz="0" w:space="0" w:color="auto"/>
                                        <w:right w:val="none" w:sz="0" w:space="0" w:color="auto"/>
                                      </w:divBdr>
                                    </w:div>
                                    <w:div w:id="14623255">
                                      <w:marLeft w:val="0"/>
                                      <w:marRight w:val="0"/>
                                      <w:marTop w:val="0"/>
                                      <w:marBottom w:val="0"/>
                                      <w:divBdr>
                                        <w:top w:val="none" w:sz="0" w:space="0" w:color="auto"/>
                                        <w:left w:val="none" w:sz="0" w:space="0" w:color="auto"/>
                                        <w:bottom w:val="none" w:sz="0" w:space="0" w:color="auto"/>
                                        <w:right w:val="none" w:sz="0" w:space="0" w:color="auto"/>
                                      </w:divBdr>
                                    </w:div>
                                    <w:div w:id="1628968791">
                                      <w:marLeft w:val="0"/>
                                      <w:marRight w:val="0"/>
                                      <w:marTop w:val="0"/>
                                      <w:marBottom w:val="0"/>
                                      <w:divBdr>
                                        <w:top w:val="none" w:sz="0" w:space="0" w:color="auto"/>
                                        <w:left w:val="none" w:sz="0" w:space="0" w:color="auto"/>
                                        <w:bottom w:val="none" w:sz="0" w:space="0" w:color="auto"/>
                                        <w:right w:val="none" w:sz="0" w:space="0" w:color="auto"/>
                                      </w:divBdr>
                                    </w:div>
                                    <w:div w:id="1743290287">
                                      <w:marLeft w:val="0"/>
                                      <w:marRight w:val="0"/>
                                      <w:marTop w:val="0"/>
                                      <w:marBottom w:val="0"/>
                                      <w:divBdr>
                                        <w:top w:val="none" w:sz="0" w:space="0" w:color="auto"/>
                                        <w:left w:val="none" w:sz="0" w:space="0" w:color="auto"/>
                                        <w:bottom w:val="none" w:sz="0" w:space="0" w:color="auto"/>
                                        <w:right w:val="none" w:sz="0" w:space="0" w:color="auto"/>
                                      </w:divBdr>
                                    </w:div>
                                    <w:div w:id="431560372">
                                      <w:marLeft w:val="0"/>
                                      <w:marRight w:val="0"/>
                                      <w:marTop w:val="0"/>
                                      <w:marBottom w:val="0"/>
                                      <w:divBdr>
                                        <w:top w:val="none" w:sz="0" w:space="0" w:color="auto"/>
                                        <w:left w:val="none" w:sz="0" w:space="0" w:color="auto"/>
                                        <w:bottom w:val="none" w:sz="0" w:space="0" w:color="auto"/>
                                        <w:right w:val="none" w:sz="0" w:space="0" w:color="auto"/>
                                      </w:divBdr>
                                    </w:div>
                                    <w:div w:id="135725773">
                                      <w:marLeft w:val="0"/>
                                      <w:marRight w:val="0"/>
                                      <w:marTop w:val="0"/>
                                      <w:marBottom w:val="0"/>
                                      <w:divBdr>
                                        <w:top w:val="none" w:sz="0" w:space="0" w:color="auto"/>
                                        <w:left w:val="none" w:sz="0" w:space="0" w:color="auto"/>
                                        <w:bottom w:val="none" w:sz="0" w:space="0" w:color="auto"/>
                                        <w:right w:val="none" w:sz="0" w:space="0" w:color="auto"/>
                                      </w:divBdr>
                                    </w:div>
                                    <w:div w:id="1745489233">
                                      <w:marLeft w:val="0"/>
                                      <w:marRight w:val="0"/>
                                      <w:marTop w:val="0"/>
                                      <w:marBottom w:val="0"/>
                                      <w:divBdr>
                                        <w:top w:val="none" w:sz="0" w:space="0" w:color="auto"/>
                                        <w:left w:val="none" w:sz="0" w:space="0" w:color="auto"/>
                                        <w:bottom w:val="none" w:sz="0" w:space="0" w:color="auto"/>
                                        <w:right w:val="none" w:sz="0" w:space="0" w:color="auto"/>
                                      </w:divBdr>
                                    </w:div>
                                    <w:div w:id="1503012201">
                                      <w:marLeft w:val="0"/>
                                      <w:marRight w:val="0"/>
                                      <w:marTop w:val="0"/>
                                      <w:marBottom w:val="0"/>
                                      <w:divBdr>
                                        <w:top w:val="none" w:sz="0" w:space="0" w:color="auto"/>
                                        <w:left w:val="none" w:sz="0" w:space="0" w:color="auto"/>
                                        <w:bottom w:val="none" w:sz="0" w:space="0" w:color="auto"/>
                                        <w:right w:val="none" w:sz="0" w:space="0" w:color="auto"/>
                                      </w:divBdr>
                                    </w:div>
                                    <w:div w:id="909148040">
                                      <w:marLeft w:val="0"/>
                                      <w:marRight w:val="0"/>
                                      <w:marTop w:val="0"/>
                                      <w:marBottom w:val="0"/>
                                      <w:divBdr>
                                        <w:top w:val="none" w:sz="0" w:space="0" w:color="auto"/>
                                        <w:left w:val="none" w:sz="0" w:space="0" w:color="auto"/>
                                        <w:bottom w:val="none" w:sz="0" w:space="0" w:color="auto"/>
                                        <w:right w:val="none" w:sz="0" w:space="0" w:color="auto"/>
                                      </w:divBdr>
                                    </w:div>
                                    <w:div w:id="852449987">
                                      <w:marLeft w:val="0"/>
                                      <w:marRight w:val="0"/>
                                      <w:marTop w:val="0"/>
                                      <w:marBottom w:val="0"/>
                                      <w:divBdr>
                                        <w:top w:val="none" w:sz="0" w:space="0" w:color="auto"/>
                                        <w:left w:val="none" w:sz="0" w:space="0" w:color="auto"/>
                                        <w:bottom w:val="none" w:sz="0" w:space="0" w:color="auto"/>
                                        <w:right w:val="none" w:sz="0" w:space="0" w:color="auto"/>
                                      </w:divBdr>
                                    </w:div>
                                    <w:div w:id="124206160">
                                      <w:marLeft w:val="0"/>
                                      <w:marRight w:val="0"/>
                                      <w:marTop w:val="0"/>
                                      <w:marBottom w:val="0"/>
                                      <w:divBdr>
                                        <w:top w:val="none" w:sz="0" w:space="0" w:color="auto"/>
                                        <w:left w:val="none" w:sz="0" w:space="0" w:color="auto"/>
                                        <w:bottom w:val="none" w:sz="0" w:space="0" w:color="auto"/>
                                        <w:right w:val="none" w:sz="0" w:space="0" w:color="auto"/>
                                      </w:divBdr>
                                    </w:div>
                                    <w:div w:id="1538011535">
                                      <w:marLeft w:val="0"/>
                                      <w:marRight w:val="0"/>
                                      <w:marTop w:val="0"/>
                                      <w:marBottom w:val="0"/>
                                      <w:divBdr>
                                        <w:top w:val="none" w:sz="0" w:space="0" w:color="auto"/>
                                        <w:left w:val="none" w:sz="0" w:space="0" w:color="auto"/>
                                        <w:bottom w:val="none" w:sz="0" w:space="0" w:color="auto"/>
                                        <w:right w:val="none" w:sz="0" w:space="0" w:color="auto"/>
                                      </w:divBdr>
                                    </w:div>
                                    <w:div w:id="1563980635">
                                      <w:marLeft w:val="0"/>
                                      <w:marRight w:val="0"/>
                                      <w:marTop w:val="0"/>
                                      <w:marBottom w:val="0"/>
                                      <w:divBdr>
                                        <w:top w:val="none" w:sz="0" w:space="0" w:color="auto"/>
                                        <w:left w:val="none" w:sz="0" w:space="0" w:color="auto"/>
                                        <w:bottom w:val="none" w:sz="0" w:space="0" w:color="auto"/>
                                        <w:right w:val="none" w:sz="0" w:space="0" w:color="auto"/>
                                      </w:divBdr>
                                    </w:div>
                                    <w:div w:id="353194307">
                                      <w:marLeft w:val="0"/>
                                      <w:marRight w:val="0"/>
                                      <w:marTop w:val="0"/>
                                      <w:marBottom w:val="0"/>
                                      <w:divBdr>
                                        <w:top w:val="none" w:sz="0" w:space="0" w:color="auto"/>
                                        <w:left w:val="none" w:sz="0" w:space="0" w:color="auto"/>
                                        <w:bottom w:val="none" w:sz="0" w:space="0" w:color="auto"/>
                                        <w:right w:val="none" w:sz="0" w:space="0" w:color="auto"/>
                                      </w:divBdr>
                                    </w:div>
                                    <w:div w:id="565846581">
                                      <w:marLeft w:val="0"/>
                                      <w:marRight w:val="0"/>
                                      <w:marTop w:val="0"/>
                                      <w:marBottom w:val="0"/>
                                      <w:divBdr>
                                        <w:top w:val="none" w:sz="0" w:space="0" w:color="auto"/>
                                        <w:left w:val="none" w:sz="0" w:space="0" w:color="auto"/>
                                        <w:bottom w:val="none" w:sz="0" w:space="0" w:color="auto"/>
                                        <w:right w:val="none" w:sz="0" w:space="0" w:color="auto"/>
                                      </w:divBdr>
                                    </w:div>
                                    <w:div w:id="1757706731">
                                      <w:marLeft w:val="0"/>
                                      <w:marRight w:val="0"/>
                                      <w:marTop w:val="0"/>
                                      <w:marBottom w:val="0"/>
                                      <w:divBdr>
                                        <w:top w:val="none" w:sz="0" w:space="0" w:color="auto"/>
                                        <w:left w:val="none" w:sz="0" w:space="0" w:color="auto"/>
                                        <w:bottom w:val="none" w:sz="0" w:space="0" w:color="auto"/>
                                        <w:right w:val="none" w:sz="0" w:space="0" w:color="auto"/>
                                      </w:divBdr>
                                    </w:div>
                                    <w:div w:id="12666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弦太(kobayashi-genta)</dc:creator>
  <cp:keywords/>
  <dc:description/>
  <cp:lastModifiedBy>小林 弦太(kobayashi-genta)</cp:lastModifiedBy>
  <cp:revision>4</cp:revision>
  <cp:lastPrinted>2018-07-27T11:14:00Z</cp:lastPrinted>
  <dcterms:created xsi:type="dcterms:W3CDTF">2018-07-12T09:42:00Z</dcterms:created>
  <dcterms:modified xsi:type="dcterms:W3CDTF">2018-07-27T11:14:00Z</dcterms:modified>
</cp:coreProperties>
</file>