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3A15" w14:textId="57518CFB" w:rsidR="00746E0E" w:rsidRDefault="00746E0E" w:rsidP="005A2E5E">
      <w:pPr>
        <w:rPr>
          <w:rFonts w:hint="eastAsia"/>
        </w:rP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07661999" w:rsidR="00221D94" w:rsidRPr="00595811" w:rsidRDefault="00221D94" w:rsidP="00595811">
      <w:pPr>
        <w:suppressAutoHyphens/>
        <w:kinsoku w:val="0"/>
        <w:wordWrap w:val="0"/>
        <w:overflowPunct w:val="0"/>
        <w:ind w:left="440" w:rightChars="-47" w:right="-103" w:hangingChars="200" w:hanging="440"/>
        <w:jc w:val="left"/>
        <w:textAlignment w:val="baseline"/>
        <w:rPr>
          <w:rFonts w:hAnsi="ＭＳ 明朝" w:cs="ＭＳ 明朝"/>
          <w:color w:val="000000"/>
          <w:kern w:val="0"/>
        </w:rPr>
      </w:pPr>
      <w:r w:rsidRPr="00034A64">
        <w:rPr>
          <w:rFonts w:hint="eastAsia"/>
        </w:rPr>
        <w:t xml:space="preserve">　</w:t>
      </w:r>
      <w:r w:rsidR="00454F4B">
        <w:rPr>
          <w:rFonts w:hint="eastAsia"/>
        </w:rPr>
        <w:t xml:space="preserve">　</w:t>
      </w:r>
      <w:r w:rsidR="008031B3">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595811" w:rsidRPr="00927BE8">
        <w:rPr>
          <w:rFonts w:hAnsi="ＭＳ 明朝" w:cs="ＭＳ 明朝" w:hint="eastAsia"/>
          <w:color w:val="000000"/>
          <w:kern w:val="0"/>
        </w:rPr>
        <w:t>国民年金第１号被保険者の育児期間に係る免除制度創設に伴う年金業務システム（経過管理・電子決裁、個人番号管理及び基盤サブシステム）の設計・改修等業務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54F4B"/>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95811"/>
    <w:rsid w:val="005A2E5E"/>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031B3"/>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D5E0B"/>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2024-04-26T01:22:00Z</dcterms:modified>
</cp:coreProperties>
</file>